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CFA1D" w14:textId="77777777" w:rsidR="004F3025" w:rsidRDefault="004F3025" w:rsidP="00FB610D">
      <w:pPr>
        <w:spacing w:line="360" w:lineRule="auto"/>
      </w:pPr>
      <w:bookmarkStart w:id="0" w:name="_GoBack"/>
      <w:bookmarkEnd w:id="0"/>
    </w:p>
    <w:p w14:paraId="1913D792" w14:textId="77777777" w:rsidR="004F3025" w:rsidRDefault="004F3025" w:rsidP="00FB610D">
      <w:pPr>
        <w:spacing w:line="360" w:lineRule="auto"/>
        <w:jc w:val="center"/>
        <w:rPr>
          <w:b/>
        </w:rPr>
      </w:pPr>
      <w:r>
        <w:rPr>
          <w:b/>
        </w:rPr>
        <w:t>UNITED STATES DISTRICT COURT</w:t>
      </w:r>
    </w:p>
    <w:p w14:paraId="2941B5E3" w14:textId="77777777" w:rsidR="004F3025" w:rsidRDefault="004F3025" w:rsidP="00FB610D">
      <w:pPr>
        <w:pBdr>
          <w:bottom w:val="single" w:sz="6" w:space="1" w:color="auto"/>
        </w:pBdr>
        <w:spacing w:line="360" w:lineRule="auto"/>
        <w:jc w:val="center"/>
        <w:rPr>
          <w:b/>
        </w:rPr>
      </w:pPr>
      <w:r>
        <w:rPr>
          <w:b/>
        </w:rPr>
        <w:t>DISTRICT OF MOOT</w:t>
      </w:r>
    </w:p>
    <w:tbl>
      <w:tblPr>
        <w:tblW w:w="0" w:type="auto"/>
        <w:tblLayout w:type="fixed"/>
        <w:tblLook w:val="0000" w:firstRow="0" w:lastRow="0" w:firstColumn="0" w:lastColumn="0" w:noHBand="0" w:noVBand="0"/>
      </w:tblPr>
      <w:tblGrid>
        <w:gridCol w:w="4745"/>
        <w:gridCol w:w="4745"/>
      </w:tblGrid>
      <w:tr w:rsidR="004F3025" w14:paraId="4F503944" w14:textId="77777777" w:rsidTr="00D65ED4">
        <w:trPr>
          <w:trHeight w:val="596"/>
        </w:trPr>
        <w:tc>
          <w:tcPr>
            <w:tcW w:w="4745" w:type="dxa"/>
          </w:tcPr>
          <w:p w14:paraId="58EB81A2" w14:textId="77777777" w:rsidR="00B0270E" w:rsidRDefault="00B0270E" w:rsidP="00FB610D">
            <w:pPr>
              <w:pStyle w:val="Footer"/>
              <w:widowControl w:val="0"/>
              <w:tabs>
                <w:tab w:val="clear" w:pos="4320"/>
                <w:tab w:val="clear" w:pos="8640"/>
              </w:tabs>
              <w:spacing w:line="360" w:lineRule="auto"/>
              <w:rPr>
                <w:b/>
                <w:snapToGrid w:val="0"/>
              </w:rPr>
            </w:pPr>
          </w:p>
          <w:p w14:paraId="5DD8F838" w14:textId="77777777" w:rsidR="004F3025" w:rsidRPr="0018535E" w:rsidRDefault="004F3025" w:rsidP="00B0270E">
            <w:pPr>
              <w:pStyle w:val="Footer"/>
              <w:widowControl w:val="0"/>
              <w:tabs>
                <w:tab w:val="clear" w:pos="4320"/>
                <w:tab w:val="clear" w:pos="8640"/>
              </w:tabs>
              <w:rPr>
                <w:snapToGrid w:val="0"/>
              </w:rPr>
            </w:pPr>
            <w:r w:rsidRPr="0018535E">
              <w:rPr>
                <w:snapToGrid w:val="0"/>
              </w:rPr>
              <w:t>OGS TV, Inc.</w:t>
            </w:r>
          </w:p>
          <w:p w14:paraId="67B76A69" w14:textId="77777777" w:rsidR="004F3025" w:rsidRPr="0018535E" w:rsidRDefault="004F3025" w:rsidP="00B0270E">
            <w:pPr>
              <w:pStyle w:val="Footer"/>
              <w:widowControl w:val="0"/>
              <w:tabs>
                <w:tab w:val="clear" w:pos="4320"/>
                <w:tab w:val="clear" w:pos="8640"/>
              </w:tabs>
              <w:rPr>
                <w:snapToGrid w:val="0"/>
              </w:rPr>
            </w:pPr>
            <w:r w:rsidRPr="0018535E">
              <w:rPr>
                <w:snapToGrid w:val="0"/>
              </w:rPr>
              <w:t xml:space="preserve">                         Plaintiff</w:t>
            </w:r>
          </w:p>
        </w:tc>
        <w:tc>
          <w:tcPr>
            <w:tcW w:w="4745" w:type="dxa"/>
          </w:tcPr>
          <w:p w14:paraId="027A37D5" w14:textId="77777777" w:rsidR="00B0270E" w:rsidRDefault="004F3025" w:rsidP="00FB610D">
            <w:pPr>
              <w:pStyle w:val="Footer"/>
              <w:widowControl w:val="0"/>
              <w:tabs>
                <w:tab w:val="clear" w:pos="4320"/>
                <w:tab w:val="clear" w:pos="8640"/>
              </w:tabs>
              <w:spacing w:line="360" w:lineRule="auto"/>
              <w:rPr>
                <w:snapToGrid w:val="0"/>
              </w:rPr>
            </w:pPr>
            <w:r w:rsidRPr="0018535E">
              <w:rPr>
                <w:snapToGrid w:val="0"/>
              </w:rPr>
              <w:t xml:space="preserve">               </w:t>
            </w:r>
          </w:p>
          <w:p w14:paraId="25BC9942" w14:textId="77777777" w:rsidR="004F3025" w:rsidRPr="0018535E" w:rsidRDefault="00B0270E" w:rsidP="00FB610D">
            <w:pPr>
              <w:pStyle w:val="Footer"/>
              <w:widowControl w:val="0"/>
              <w:tabs>
                <w:tab w:val="clear" w:pos="4320"/>
                <w:tab w:val="clear" w:pos="8640"/>
              </w:tabs>
              <w:spacing w:line="360" w:lineRule="auto"/>
              <w:rPr>
                <w:snapToGrid w:val="0"/>
              </w:rPr>
            </w:pPr>
            <w:r>
              <w:rPr>
                <w:snapToGrid w:val="0"/>
              </w:rPr>
              <w:t xml:space="preserve">               </w:t>
            </w:r>
            <w:r w:rsidR="004F3025" w:rsidRPr="0018535E">
              <w:rPr>
                <w:snapToGrid w:val="0"/>
              </w:rPr>
              <w:t>Civ. No. 27-CV-12-1234</w:t>
            </w:r>
          </w:p>
        </w:tc>
      </w:tr>
      <w:tr w:rsidR="004F3025" w14:paraId="254343AE" w14:textId="77777777" w:rsidTr="00D65ED4">
        <w:trPr>
          <w:trHeight w:val="596"/>
        </w:trPr>
        <w:tc>
          <w:tcPr>
            <w:tcW w:w="4745" w:type="dxa"/>
          </w:tcPr>
          <w:p w14:paraId="53B1D0B3" w14:textId="77777777" w:rsidR="004F3025" w:rsidRPr="0018535E" w:rsidRDefault="004F3025" w:rsidP="00FB610D">
            <w:pPr>
              <w:pStyle w:val="Footer"/>
              <w:widowControl w:val="0"/>
              <w:tabs>
                <w:tab w:val="clear" w:pos="4320"/>
                <w:tab w:val="clear" w:pos="8640"/>
              </w:tabs>
              <w:spacing w:line="360" w:lineRule="auto"/>
              <w:rPr>
                <w:snapToGrid w:val="0"/>
              </w:rPr>
            </w:pPr>
          </w:p>
          <w:p w14:paraId="67A04B8D" w14:textId="77777777" w:rsidR="004F3025" w:rsidRPr="0018535E" w:rsidRDefault="004F3025" w:rsidP="00FB610D">
            <w:pPr>
              <w:pStyle w:val="Footer"/>
              <w:widowControl w:val="0"/>
              <w:tabs>
                <w:tab w:val="clear" w:pos="4320"/>
                <w:tab w:val="clear" w:pos="8640"/>
              </w:tabs>
              <w:spacing w:line="360" w:lineRule="auto"/>
              <w:rPr>
                <w:snapToGrid w:val="0"/>
              </w:rPr>
            </w:pPr>
            <w:r w:rsidRPr="0018535E">
              <w:rPr>
                <w:snapToGrid w:val="0"/>
              </w:rPr>
              <w:t>v.</w:t>
            </w:r>
          </w:p>
        </w:tc>
        <w:tc>
          <w:tcPr>
            <w:tcW w:w="4745" w:type="dxa"/>
          </w:tcPr>
          <w:p w14:paraId="0B7F48FA" w14:textId="77777777" w:rsidR="00926A97" w:rsidRDefault="004F3025" w:rsidP="00B0270E">
            <w:pPr>
              <w:pStyle w:val="Footer"/>
              <w:widowControl w:val="0"/>
              <w:tabs>
                <w:tab w:val="clear" w:pos="4320"/>
                <w:tab w:val="clear" w:pos="8640"/>
              </w:tabs>
              <w:ind w:right="-810"/>
              <w:rPr>
                <w:b/>
                <w:snapToGrid w:val="0"/>
              </w:rPr>
            </w:pPr>
            <w:r w:rsidRPr="0018535E">
              <w:rPr>
                <w:b/>
                <w:snapToGrid w:val="0"/>
              </w:rPr>
              <w:t xml:space="preserve">               DEFENDANTS’ MEMORANDUM</w:t>
            </w:r>
          </w:p>
          <w:p w14:paraId="2D1F4FC0" w14:textId="77777777" w:rsidR="00926A97" w:rsidRDefault="004F3025" w:rsidP="00B0270E">
            <w:pPr>
              <w:rPr>
                <w:b/>
              </w:rPr>
            </w:pPr>
            <w:r w:rsidRPr="00D75F8A">
              <w:rPr>
                <w:b/>
              </w:rPr>
              <w:t xml:space="preserve">               IN SUPPORT OF</w:t>
            </w:r>
            <w:r w:rsidR="00B0270E">
              <w:rPr>
                <w:b/>
              </w:rPr>
              <w:br/>
              <w:t xml:space="preserve">               </w:t>
            </w:r>
            <w:r w:rsidR="00B0270E" w:rsidRPr="00D75F8A">
              <w:rPr>
                <w:b/>
              </w:rPr>
              <w:t>MOTION TO DISMISS</w:t>
            </w:r>
          </w:p>
        </w:tc>
      </w:tr>
      <w:tr w:rsidR="004F3025" w14:paraId="11D26A42" w14:textId="77777777" w:rsidTr="00D65ED4">
        <w:trPr>
          <w:trHeight w:val="894"/>
        </w:trPr>
        <w:tc>
          <w:tcPr>
            <w:tcW w:w="4745" w:type="dxa"/>
          </w:tcPr>
          <w:p w14:paraId="20883644" w14:textId="77777777" w:rsidR="004F3025" w:rsidRPr="0018535E" w:rsidRDefault="004F3025" w:rsidP="00FB610D">
            <w:pPr>
              <w:pStyle w:val="Footer"/>
              <w:widowControl w:val="0"/>
              <w:tabs>
                <w:tab w:val="clear" w:pos="4320"/>
                <w:tab w:val="clear" w:pos="8640"/>
              </w:tabs>
              <w:spacing w:line="360" w:lineRule="auto"/>
              <w:rPr>
                <w:snapToGrid w:val="0"/>
              </w:rPr>
            </w:pPr>
          </w:p>
          <w:p w14:paraId="24969031" w14:textId="77777777" w:rsidR="004F3025" w:rsidRPr="0018535E" w:rsidRDefault="004F3025" w:rsidP="00B0270E">
            <w:pPr>
              <w:pStyle w:val="Footer"/>
              <w:widowControl w:val="0"/>
              <w:tabs>
                <w:tab w:val="clear" w:pos="4320"/>
                <w:tab w:val="clear" w:pos="8640"/>
              </w:tabs>
              <w:rPr>
                <w:snapToGrid w:val="0"/>
              </w:rPr>
            </w:pPr>
            <w:r w:rsidRPr="0018535E">
              <w:rPr>
                <w:snapToGrid w:val="0"/>
              </w:rPr>
              <w:t>Elizabeth Lime</w:t>
            </w:r>
            <w:r w:rsidR="00637E47">
              <w:rPr>
                <w:snapToGrid w:val="0"/>
              </w:rPr>
              <w:t>,</w:t>
            </w:r>
            <w:r w:rsidRPr="0018535E">
              <w:rPr>
                <w:snapToGrid w:val="0"/>
              </w:rPr>
              <w:t xml:space="preserve"> and Tiny TV, Inc.</w:t>
            </w:r>
          </w:p>
          <w:p w14:paraId="3F267833" w14:textId="77777777" w:rsidR="004F3025" w:rsidRPr="0018535E" w:rsidRDefault="004F3025" w:rsidP="00B0270E">
            <w:pPr>
              <w:pStyle w:val="Footer"/>
              <w:widowControl w:val="0"/>
              <w:tabs>
                <w:tab w:val="clear" w:pos="4320"/>
                <w:tab w:val="clear" w:pos="8640"/>
              </w:tabs>
              <w:rPr>
                <w:snapToGrid w:val="0"/>
              </w:rPr>
            </w:pPr>
            <w:r w:rsidRPr="0018535E">
              <w:rPr>
                <w:snapToGrid w:val="0"/>
              </w:rPr>
              <w:t xml:space="preserve">                        Defendants.</w:t>
            </w:r>
          </w:p>
        </w:tc>
        <w:tc>
          <w:tcPr>
            <w:tcW w:w="4745" w:type="dxa"/>
          </w:tcPr>
          <w:p w14:paraId="41DE128C" w14:textId="77777777" w:rsidR="00926A97" w:rsidRDefault="004F3025" w:rsidP="00B0270E">
            <w:pPr>
              <w:rPr>
                <w:b/>
              </w:rPr>
            </w:pPr>
            <w:r w:rsidRPr="00D75F8A">
              <w:rPr>
                <w:b/>
              </w:rPr>
              <w:t xml:space="preserve">               </w:t>
            </w:r>
          </w:p>
          <w:p w14:paraId="7F7A4C6A" w14:textId="77777777" w:rsidR="00926A97" w:rsidRDefault="004F3025" w:rsidP="00B0270E">
            <w:pPr>
              <w:rPr>
                <w:b/>
              </w:rPr>
            </w:pPr>
            <w:r w:rsidRPr="00D75F8A">
              <w:rPr>
                <w:b/>
              </w:rPr>
              <w:t xml:space="preserve">               </w:t>
            </w:r>
          </w:p>
        </w:tc>
      </w:tr>
    </w:tbl>
    <w:p w14:paraId="5043213F" w14:textId="77777777" w:rsidR="004F3025" w:rsidRDefault="004F3025" w:rsidP="00FB610D">
      <w:pPr>
        <w:pBdr>
          <w:bottom w:val="single" w:sz="6" w:space="1" w:color="auto"/>
        </w:pBdr>
        <w:spacing w:line="360" w:lineRule="auto"/>
      </w:pPr>
    </w:p>
    <w:p w14:paraId="3A5F3B5D" w14:textId="77777777" w:rsidR="004F3025" w:rsidRDefault="004F3025" w:rsidP="00B63731">
      <w:pPr>
        <w:spacing w:line="480" w:lineRule="auto"/>
      </w:pPr>
    </w:p>
    <w:p w14:paraId="72753194" w14:textId="77777777" w:rsidR="004F3025" w:rsidRDefault="004F3025" w:rsidP="00B63731">
      <w:pPr>
        <w:pStyle w:val="Heading2"/>
        <w:spacing w:line="480" w:lineRule="auto"/>
      </w:pPr>
      <w:r>
        <w:t>INTRODUCTION</w:t>
      </w:r>
    </w:p>
    <w:p w14:paraId="14FBEFF5" w14:textId="77777777" w:rsidR="004F3025" w:rsidRDefault="004F3025" w:rsidP="00B63731">
      <w:pPr>
        <w:pStyle w:val="BodyText"/>
        <w:spacing w:line="480" w:lineRule="auto"/>
        <w:ind w:firstLine="720"/>
      </w:pPr>
      <w:r>
        <w:t xml:space="preserve">This memorandum supports Defendants’ motion to dismiss for failure to state a claim upon which relief can be granted under Fed. R. Civ. P. 12(b)(6). Even with all facts taken in the light most favorable to the opposing party, Plaintiff has not established authorship of the copyright to a disputed screenplay and thus cannot sustain an action for infringement. Defendants request dismissal of the claims and such other relief, including </w:t>
      </w:r>
      <w:proofErr w:type="gramStart"/>
      <w:r>
        <w:t>costs, that</w:t>
      </w:r>
      <w:proofErr w:type="gramEnd"/>
      <w:r>
        <w:t xml:space="preserve"> the Court may find appropriate.</w:t>
      </w:r>
    </w:p>
    <w:p w14:paraId="203140C7" w14:textId="77777777" w:rsidR="004F3025" w:rsidRDefault="004F3025" w:rsidP="00B63731">
      <w:pPr>
        <w:pStyle w:val="BodyText"/>
        <w:spacing w:line="480" w:lineRule="auto"/>
        <w:ind w:firstLine="720"/>
      </w:pPr>
      <w:r>
        <w:t>In the spring of 2010, Defendant Elizabeth Lime (“Lime”) entered into negotiations to write a screenplay for Plaintiff, OGS TV, Inc. (“OGS”)</w:t>
      </w:r>
      <w:r w:rsidR="00B0270E">
        <w:t>.</w:t>
      </w:r>
      <w:r>
        <w:t xml:space="preserve"> </w:t>
      </w:r>
      <w:r w:rsidR="00B0270E">
        <w:t xml:space="preserve">Lime did write and submit a screenplay to OGS, but the parties did not entire into a written agreement that the screenplay would be considered a work made for hire until after the work was completed. </w:t>
      </w:r>
      <w:r>
        <w:t xml:space="preserve">After Tiny TV, Inc. (“Tiny TV”) aired a screenplay by Lime in September 2010, Plaintiff claimed that Lime and Tiny TV had infringed its copyright. However, </w:t>
      </w:r>
      <w:r w:rsidR="00B0270E">
        <w:t xml:space="preserve">Lime </w:t>
      </w:r>
      <w:r>
        <w:t>retain</w:t>
      </w:r>
      <w:r w:rsidR="00ED4A2B">
        <w:t>ed</w:t>
      </w:r>
      <w:r>
        <w:t xml:space="preserve"> authorship and copyright of the screenplay</w:t>
      </w:r>
      <w:r w:rsidR="00B0270E">
        <w:t>, because it had not been created as a work made for hire</w:t>
      </w:r>
      <w:r>
        <w:t>.</w:t>
      </w:r>
      <w:r w:rsidR="00B0270E">
        <w:t xml:space="preserve"> Therefore, Plaintiff cannot succeed on </w:t>
      </w:r>
      <w:r w:rsidR="00B0270E">
        <w:lastRenderedPageBreak/>
        <w:t>an infringement claim as a matter of law.</w:t>
      </w:r>
    </w:p>
    <w:p w14:paraId="1C8EE3AB" w14:textId="77777777" w:rsidR="004F3025" w:rsidRDefault="004F3025" w:rsidP="00B63731">
      <w:pPr>
        <w:spacing w:line="480" w:lineRule="auto"/>
      </w:pPr>
    </w:p>
    <w:p w14:paraId="30C0D4A3" w14:textId="77777777" w:rsidR="004F3025" w:rsidRDefault="004F3025" w:rsidP="00B63731">
      <w:pPr>
        <w:pStyle w:val="Heading2"/>
        <w:spacing w:line="480" w:lineRule="auto"/>
      </w:pPr>
      <w:r>
        <w:t>FACTUAL BACKGROUND</w:t>
      </w:r>
    </w:p>
    <w:p w14:paraId="70AA4FEC" w14:textId="77777777" w:rsidR="004F3025" w:rsidRDefault="004F3025" w:rsidP="00B63731">
      <w:pPr>
        <w:spacing w:line="480" w:lineRule="auto"/>
        <w:ind w:firstLine="720"/>
        <w:jc w:val="both"/>
      </w:pPr>
      <w:r>
        <w:t>The following facts are undisputed for the purposes of this Motion.</w:t>
      </w:r>
      <w:r w:rsidR="00257BC0">
        <w:t xml:space="preserve"> </w:t>
      </w:r>
    </w:p>
    <w:p w14:paraId="50C9015A" w14:textId="77777777" w:rsidR="004F3025" w:rsidRPr="00A4215B" w:rsidRDefault="004F3025" w:rsidP="00B63731">
      <w:pPr>
        <w:tabs>
          <w:tab w:val="left" w:pos="0"/>
        </w:tabs>
        <w:spacing w:line="480" w:lineRule="auto"/>
        <w:ind w:firstLine="720"/>
        <w:jc w:val="both"/>
      </w:pPr>
      <w:r>
        <w:t xml:space="preserve">OGS produces and airs the television series </w:t>
      </w:r>
      <w:r>
        <w:rPr>
          <w:i/>
        </w:rPr>
        <w:t>Lawless Love.</w:t>
      </w:r>
      <w:r>
        <w:t xml:space="preserve"> (Pl.’s </w:t>
      </w:r>
      <w:proofErr w:type="spellStart"/>
      <w:r>
        <w:t>Compl</w:t>
      </w:r>
      <w:proofErr w:type="spellEnd"/>
      <w:r>
        <w:t xml:space="preserve">. ¶ 11) Despite the fact that all episodes of </w:t>
      </w:r>
      <w:r>
        <w:rPr>
          <w:i/>
        </w:rPr>
        <w:t xml:space="preserve">Lawless Love </w:t>
      </w:r>
      <w:r>
        <w:t>had previously been written by OGS employees, the executive producer of the series, Dave Nelson, contacted Lime on March 27, 2010 and requested that she create a screenplay for an episode. (</w:t>
      </w:r>
      <w:r>
        <w:rPr>
          <w:i/>
        </w:rPr>
        <w:t>Id.</w:t>
      </w:r>
      <w:r>
        <w:t xml:space="preserve">  </w:t>
      </w:r>
      <w:r w:rsidRPr="001A116E">
        <w:t>¶</w:t>
      </w:r>
      <w:r>
        <w:t xml:space="preserve"> 9–10) Nelson was eager to see Lime’s “unique approach” to the series. (</w:t>
      </w:r>
      <w:r>
        <w:rPr>
          <w:i/>
        </w:rPr>
        <w:t>Id.</w:t>
      </w:r>
      <w:r>
        <w:t xml:space="preserve"> </w:t>
      </w:r>
      <w:r w:rsidRPr="001A116E">
        <w:t>¶</w:t>
      </w:r>
      <w:r>
        <w:t xml:space="preserve"> 14)</w:t>
      </w:r>
      <w:r w:rsidR="00232B73">
        <w:t xml:space="preserve"> N</w:t>
      </w:r>
      <w:r>
        <w:t>elson proposed that Lime’s screenplay would be a work for hire, and that OGS would be the author. (</w:t>
      </w:r>
      <w:r>
        <w:rPr>
          <w:i/>
        </w:rPr>
        <w:t>Id.</w:t>
      </w:r>
      <w:r>
        <w:t xml:space="preserve"> </w:t>
      </w:r>
      <w:r w:rsidRPr="001A116E">
        <w:t>¶</w:t>
      </w:r>
      <w:r>
        <w:t xml:space="preserve"> 16) However, Lime and OGS did not enter into </w:t>
      </w:r>
      <w:r w:rsidR="00465B69">
        <w:t xml:space="preserve">such a </w:t>
      </w:r>
      <w:r>
        <w:t>written agreement on that day</w:t>
      </w:r>
      <w:r w:rsidR="00ED4A2B">
        <w:t>.</w:t>
      </w:r>
      <w:r>
        <w:t xml:space="preserve"> (</w:t>
      </w:r>
      <w:r>
        <w:rPr>
          <w:i/>
        </w:rPr>
        <w:t>Id.</w:t>
      </w:r>
      <w:r>
        <w:t xml:space="preserve"> </w:t>
      </w:r>
      <w:r w:rsidRPr="001A116E">
        <w:t>¶</w:t>
      </w:r>
      <w:r>
        <w:t xml:space="preserve"> 18)</w:t>
      </w:r>
    </w:p>
    <w:p w14:paraId="4A45B3D5" w14:textId="77777777" w:rsidR="00FD2586" w:rsidRDefault="004F3025" w:rsidP="00B63731">
      <w:pPr>
        <w:tabs>
          <w:tab w:val="left" w:pos="0"/>
        </w:tabs>
        <w:spacing w:line="480" w:lineRule="auto"/>
        <w:ind w:firstLine="720"/>
        <w:jc w:val="both"/>
      </w:pPr>
      <w:r>
        <w:t>Lime completed the screenplay on April 1, 2010. (</w:t>
      </w:r>
      <w:r>
        <w:rPr>
          <w:i/>
        </w:rPr>
        <w:t xml:space="preserve">Id. </w:t>
      </w:r>
      <w:r w:rsidRPr="001A116E">
        <w:t>¶</w:t>
      </w:r>
      <w:r>
        <w:t xml:space="preserve"> 15) On April 6, 2010, </w:t>
      </w:r>
      <w:r w:rsidR="00292B0B">
        <w:t>Lime returned to OGS to submit the screenplay. (</w:t>
      </w:r>
      <w:r w:rsidR="00292B0B">
        <w:rPr>
          <w:i/>
        </w:rPr>
        <w:t>Id.</w:t>
      </w:r>
      <w:r w:rsidR="00292B0B">
        <w:t xml:space="preserve"> </w:t>
      </w:r>
      <w:r w:rsidR="00292B0B" w:rsidRPr="001A116E">
        <w:t>¶</w:t>
      </w:r>
      <w:r w:rsidR="00292B0B">
        <w:t xml:space="preserve"> 24) In the process of receiving her paycheck, </w:t>
      </w:r>
      <w:r>
        <w:t xml:space="preserve">Lime signed a document </w:t>
      </w:r>
      <w:r w:rsidR="00FD2586">
        <w:t>stating, in its entirety,</w:t>
      </w:r>
      <w:r>
        <w:t xml:space="preserve"> </w:t>
      </w:r>
      <w:r w:rsidR="00FD2586">
        <w:rPr>
          <w:color w:val="000000"/>
        </w:rPr>
        <w:t xml:space="preserve">“I understand and agree that I have prepared the screenplay, ‘Anticipatory Repudiation,’ as a work made for hire under the federal Copyright Act of 1976. Pursuant to this law, OGS TV is the author of this screenplay.” </w:t>
      </w:r>
      <w:r>
        <w:t>(</w:t>
      </w:r>
      <w:r>
        <w:rPr>
          <w:i/>
        </w:rPr>
        <w:t>Id.</w:t>
      </w:r>
      <w:r>
        <w:t>) Nelson signed the same document, called the “Work-Made-For-Hire Agreement,” on the same day. (</w:t>
      </w:r>
      <w:r>
        <w:rPr>
          <w:i/>
        </w:rPr>
        <w:t xml:space="preserve">Id. </w:t>
      </w:r>
      <w:r w:rsidRPr="001A116E">
        <w:t>¶</w:t>
      </w:r>
      <w:r>
        <w:t xml:space="preserve"> 25)</w:t>
      </w:r>
      <w:r w:rsidR="00FD2586">
        <w:t xml:space="preserve"> </w:t>
      </w:r>
    </w:p>
    <w:p w14:paraId="6F10DFEC" w14:textId="77777777" w:rsidR="004F3025" w:rsidRPr="00103F6A" w:rsidRDefault="004F3025" w:rsidP="00B63731">
      <w:pPr>
        <w:tabs>
          <w:tab w:val="left" w:pos="0"/>
        </w:tabs>
        <w:spacing w:line="480" w:lineRule="auto"/>
        <w:ind w:firstLine="720"/>
        <w:jc w:val="both"/>
      </w:pPr>
      <w:r>
        <w:t xml:space="preserve">By the time that season of </w:t>
      </w:r>
      <w:r>
        <w:rPr>
          <w:i/>
        </w:rPr>
        <w:t>Lawless Love</w:t>
      </w:r>
      <w:r>
        <w:t xml:space="preserve"> was over, Lime’s screenplay had not aired. (</w:t>
      </w:r>
      <w:r>
        <w:rPr>
          <w:i/>
        </w:rPr>
        <w:t>Id.</w:t>
      </w:r>
      <w:r>
        <w:t xml:space="preserve"> </w:t>
      </w:r>
      <w:r w:rsidRPr="001A116E">
        <w:t>¶</w:t>
      </w:r>
      <w:r>
        <w:t xml:space="preserve"> 26) On June 1, 2010, Lime asked Nelson why “Anticipatory Repudiation” had not been performed. (</w:t>
      </w:r>
      <w:r>
        <w:rPr>
          <w:i/>
        </w:rPr>
        <w:t>Id.</w:t>
      </w:r>
      <w:r>
        <w:t>) Nelson informed her that OGS executives did not feel Lime’s work was a good fit for the series, in terms of theme, budget, setting, and other criteria. (</w:t>
      </w:r>
      <w:r>
        <w:rPr>
          <w:i/>
        </w:rPr>
        <w:t>Id.</w:t>
      </w:r>
      <w:r>
        <w:t>)</w:t>
      </w:r>
    </w:p>
    <w:p w14:paraId="756B5000" w14:textId="77777777" w:rsidR="00B63731" w:rsidRDefault="004F3025" w:rsidP="00B63731">
      <w:pPr>
        <w:tabs>
          <w:tab w:val="left" w:pos="0"/>
        </w:tabs>
        <w:spacing w:line="480" w:lineRule="auto"/>
        <w:ind w:firstLine="720"/>
        <w:jc w:val="both"/>
      </w:pPr>
      <w:r>
        <w:t xml:space="preserve">In August 2010, Lime and Tiny TV produced a new series, entitled </w:t>
      </w:r>
      <w:r>
        <w:rPr>
          <w:i/>
        </w:rPr>
        <w:t>The Tin Can.</w:t>
      </w:r>
      <w:r>
        <w:t xml:space="preserve"> (</w:t>
      </w:r>
      <w:r>
        <w:rPr>
          <w:i/>
        </w:rPr>
        <w:t>Id.</w:t>
      </w:r>
      <w:r>
        <w:t xml:space="preserve"> </w:t>
      </w:r>
      <w:r w:rsidRPr="001A116E">
        <w:t>¶</w:t>
      </w:r>
      <w:r>
        <w:t xml:space="preserve"> 27) </w:t>
      </w:r>
      <w:r w:rsidR="00257BC0">
        <w:t>Plaintiff alleges that t</w:t>
      </w:r>
      <w:r>
        <w:t xml:space="preserve">he pilot episode of </w:t>
      </w:r>
      <w:r>
        <w:rPr>
          <w:i/>
        </w:rPr>
        <w:t>The Tin Can</w:t>
      </w:r>
      <w:r>
        <w:t xml:space="preserve"> utilized dialogue, characterizations, and </w:t>
      </w:r>
      <w:r>
        <w:lastRenderedPageBreak/>
        <w:t xml:space="preserve">plot elements </w:t>
      </w:r>
      <w:r w:rsidR="00257BC0">
        <w:t>which</w:t>
      </w:r>
      <w:r>
        <w:t xml:space="preserve"> Lime had previously used in “Anticipatory Repudiation,” but did not involve the setting, character names, or the premise of the </w:t>
      </w:r>
      <w:r>
        <w:rPr>
          <w:i/>
        </w:rPr>
        <w:t xml:space="preserve">Lawless Love </w:t>
      </w:r>
      <w:r>
        <w:t>screenplay. (</w:t>
      </w:r>
      <w:r>
        <w:rPr>
          <w:i/>
        </w:rPr>
        <w:t>Id.</w:t>
      </w:r>
      <w:r>
        <w:t xml:space="preserve"> 31)</w:t>
      </w:r>
    </w:p>
    <w:p w14:paraId="30E9062A" w14:textId="77777777" w:rsidR="00B63731" w:rsidRDefault="00465B69" w:rsidP="00B63731">
      <w:pPr>
        <w:tabs>
          <w:tab w:val="left" w:pos="0"/>
        </w:tabs>
        <w:spacing w:line="480" w:lineRule="auto"/>
        <w:ind w:firstLine="720"/>
        <w:jc w:val="both"/>
      </w:pPr>
      <w:r>
        <w:t>Under the standard of review called for by a Motion to Dismiss, all facts are taken in the light most favorable to the nonmoving party, in this case the Plaintiff.</w:t>
      </w:r>
    </w:p>
    <w:p w14:paraId="769E3DF7" w14:textId="77777777" w:rsidR="00B63731" w:rsidRDefault="00292B0B" w:rsidP="00B63731">
      <w:pPr>
        <w:tabs>
          <w:tab w:val="left" w:pos="0"/>
        </w:tabs>
        <w:spacing w:line="480" w:lineRule="auto"/>
        <w:jc w:val="center"/>
      </w:pPr>
      <w:r>
        <w:rPr>
          <w:b/>
        </w:rPr>
        <w:t>ANALYSIS</w:t>
      </w:r>
    </w:p>
    <w:p w14:paraId="2FBC1C3A" w14:textId="77777777" w:rsidR="00B63731" w:rsidRDefault="00B63731" w:rsidP="00B63731">
      <w:pPr>
        <w:spacing w:line="480" w:lineRule="auto"/>
      </w:pPr>
      <w:r>
        <w:tab/>
        <w:t>Under the federal Copyright Act, a work made for hire must fall within one of two categories:</w:t>
      </w:r>
    </w:p>
    <w:p w14:paraId="5E939B56" w14:textId="77777777" w:rsidR="00B63731" w:rsidRPr="00292B0B" w:rsidRDefault="00B63731" w:rsidP="00B63731">
      <w:pPr>
        <w:widowControl/>
        <w:spacing w:line="276" w:lineRule="auto"/>
        <w:ind w:left="720" w:right="720"/>
        <w:rPr>
          <w:snapToGrid/>
          <w:color w:val="252525"/>
          <w:szCs w:val="24"/>
          <w:lang w:eastAsia="zh-CN"/>
        </w:rPr>
      </w:pPr>
      <w:r w:rsidRPr="00292B0B">
        <w:rPr>
          <w:b/>
          <w:bCs/>
          <w:snapToGrid/>
          <w:color w:val="252525"/>
          <w:szCs w:val="24"/>
          <w:lang w:eastAsia="zh-CN"/>
        </w:rPr>
        <w:t>(1)</w:t>
      </w:r>
      <w:r w:rsidRPr="00292B0B">
        <w:rPr>
          <w:snapToGrid/>
          <w:color w:val="252525"/>
          <w:szCs w:val="24"/>
          <w:lang w:eastAsia="zh-CN"/>
        </w:rPr>
        <w:t> </w:t>
      </w:r>
      <w:proofErr w:type="gramStart"/>
      <w:r w:rsidRPr="00292B0B">
        <w:rPr>
          <w:snapToGrid/>
          <w:color w:val="252525"/>
          <w:szCs w:val="24"/>
          <w:lang w:eastAsia="zh-CN"/>
        </w:rPr>
        <w:t>a</w:t>
      </w:r>
      <w:proofErr w:type="gramEnd"/>
      <w:r w:rsidRPr="00292B0B">
        <w:rPr>
          <w:snapToGrid/>
          <w:color w:val="252525"/>
          <w:szCs w:val="24"/>
          <w:lang w:eastAsia="zh-CN"/>
        </w:rPr>
        <w:t xml:space="preserve"> work prepared by an employee within the scope of his or her employment; or</w:t>
      </w:r>
    </w:p>
    <w:p w14:paraId="5FBB09E8" w14:textId="77777777" w:rsidR="00891F8F" w:rsidRPr="00292B0B" w:rsidRDefault="00B63731" w:rsidP="00B63731">
      <w:pPr>
        <w:widowControl/>
        <w:spacing w:line="276" w:lineRule="auto"/>
        <w:ind w:left="720" w:right="720"/>
        <w:rPr>
          <w:snapToGrid/>
          <w:color w:val="252525"/>
          <w:szCs w:val="24"/>
          <w:lang w:eastAsia="zh-CN"/>
        </w:rPr>
      </w:pPr>
      <w:r w:rsidRPr="00292B0B">
        <w:rPr>
          <w:b/>
          <w:bCs/>
          <w:snapToGrid/>
          <w:color w:val="252525"/>
          <w:szCs w:val="24"/>
          <w:lang w:eastAsia="zh-CN"/>
        </w:rPr>
        <w:t>(2)</w:t>
      </w:r>
      <w:r w:rsidRPr="00292B0B">
        <w:rPr>
          <w:snapToGrid/>
          <w:color w:val="252525"/>
          <w:szCs w:val="24"/>
          <w:lang w:eastAsia="zh-CN"/>
        </w:rPr>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p>
    <w:p w14:paraId="2577F70E" w14:textId="77777777" w:rsidR="00891F8F" w:rsidRPr="00292B0B" w:rsidRDefault="00891F8F" w:rsidP="00B63731">
      <w:pPr>
        <w:widowControl/>
        <w:spacing w:line="276" w:lineRule="auto"/>
        <w:ind w:left="720" w:right="720"/>
        <w:rPr>
          <w:snapToGrid/>
          <w:color w:val="252525"/>
          <w:szCs w:val="24"/>
          <w:lang w:eastAsia="zh-CN"/>
        </w:rPr>
      </w:pPr>
    </w:p>
    <w:p w14:paraId="064D8B89" w14:textId="77777777" w:rsidR="00926A97" w:rsidRPr="00292B0B" w:rsidRDefault="00204BE7" w:rsidP="00292B0B">
      <w:pPr>
        <w:widowControl/>
        <w:spacing w:line="276" w:lineRule="auto"/>
        <w:ind w:right="720"/>
        <w:rPr>
          <w:snapToGrid/>
          <w:color w:val="252525"/>
          <w:szCs w:val="24"/>
          <w:lang w:eastAsia="zh-CN"/>
        </w:rPr>
      </w:pPr>
      <w:proofErr w:type="gramStart"/>
      <w:r w:rsidRPr="00292B0B">
        <w:rPr>
          <w:snapToGrid/>
          <w:color w:val="252525"/>
          <w:szCs w:val="24"/>
          <w:lang w:eastAsia="zh-CN"/>
        </w:rPr>
        <w:t>17 U.S.C. § 101 (1976).</w:t>
      </w:r>
      <w:proofErr w:type="gramEnd"/>
    </w:p>
    <w:p w14:paraId="67EECA21" w14:textId="77777777" w:rsidR="00B63731" w:rsidRPr="00B63731" w:rsidRDefault="00B63731" w:rsidP="00B63731">
      <w:pPr>
        <w:widowControl/>
        <w:spacing w:line="276" w:lineRule="auto"/>
        <w:ind w:left="720" w:right="720"/>
        <w:rPr>
          <w:snapToGrid/>
          <w:color w:val="252525"/>
          <w:sz w:val="20"/>
          <w:lang w:eastAsia="zh-CN"/>
        </w:rPr>
      </w:pPr>
    </w:p>
    <w:p w14:paraId="4ECD3924" w14:textId="77777777" w:rsidR="0007114B" w:rsidRDefault="00BE0321" w:rsidP="00B63731">
      <w:pPr>
        <w:spacing w:line="480" w:lineRule="auto"/>
      </w:pPr>
      <w:r>
        <w:t xml:space="preserve">As Lime was not an employee of OGS, </w:t>
      </w:r>
      <w:r w:rsidR="00B63731">
        <w:t xml:space="preserve">OGS must show that the screenplay meets the requirements of the second category. </w:t>
      </w:r>
      <w:r>
        <w:t>OGS, however, cannot win as a matter of law because the written requirement of the second category must precede the creation of the work.</w:t>
      </w:r>
    </w:p>
    <w:p w14:paraId="3215FC29" w14:textId="77777777" w:rsidR="00943EB9" w:rsidRDefault="00943EB9" w:rsidP="004D3C68">
      <w:pPr>
        <w:spacing w:line="480" w:lineRule="auto"/>
      </w:pPr>
      <w:r>
        <w:tab/>
      </w:r>
      <w:r w:rsidR="004A665A">
        <w:t xml:space="preserve">First, the </w:t>
      </w:r>
      <w:r w:rsidR="00292B0B">
        <w:t xml:space="preserve">plain language </w:t>
      </w:r>
      <w:r w:rsidR="004A665A">
        <w:t xml:space="preserve">of the statute indicates that the written instrument must be signed prior to the </w:t>
      </w:r>
      <w:r w:rsidR="00292B0B">
        <w:t>creation of a work made for hire</w:t>
      </w:r>
      <w:r w:rsidR="004A665A">
        <w:t xml:space="preserve">. </w:t>
      </w:r>
      <w:r w:rsidR="00292B0B">
        <w:t xml:space="preserve">The legislative history of the Copyright Act indicates that Congress understood the language of the statute to require </w:t>
      </w:r>
      <w:r w:rsidR="00CD12ED">
        <w:t xml:space="preserve">that sequence of events. </w:t>
      </w:r>
      <w:r w:rsidR="004A665A">
        <w:t xml:space="preserve">Congress meant for courts to adhere strictly </w:t>
      </w:r>
      <w:r w:rsidR="00CD12ED">
        <w:t>to that language as they understood it</w:t>
      </w:r>
      <w:r w:rsidR="004A665A">
        <w:t xml:space="preserve">; laxer standards for the timing of the writing would run counter to Congress’s intent. </w:t>
      </w:r>
      <w:r w:rsidR="00664FF5">
        <w:t xml:space="preserve">Furthermore, the drafters of the Copyright Act included the signed writing requirement to increase clarity and certainty around copyright ownership. Interfering with that requirement would lead to confusion </w:t>
      </w:r>
      <w:r w:rsidR="00664FF5">
        <w:lastRenderedPageBreak/>
        <w:t>in transactions regarding commissioned works</w:t>
      </w:r>
      <w:r w:rsidR="009D69B0">
        <w:t xml:space="preserve"> and a disruption of power balances</w:t>
      </w:r>
      <w:r w:rsidR="00664FF5">
        <w:t xml:space="preserve"> </w:t>
      </w:r>
      <w:r w:rsidR="009D69B0">
        <w:t>in creative industries</w:t>
      </w:r>
      <w:r w:rsidR="00664FF5">
        <w:t>, both of which are problems that Congress enacted the Copyright Act to reduce.</w:t>
      </w:r>
      <w:r w:rsidR="00BE0321">
        <w:t xml:space="preserve"> </w:t>
      </w:r>
    </w:p>
    <w:p w14:paraId="107781D2" w14:textId="77777777" w:rsidR="004D3C68" w:rsidRDefault="004D3C68" w:rsidP="004D3C68">
      <w:pPr>
        <w:spacing w:line="480" w:lineRule="auto"/>
      </w:pPr>
    </w:p>
    <w:p w14:paraId="53BC0F5C" w14:textId="77777777" w:rsidR="004D3C68" w:rsidRPr="00C039EA" w:rsidRDefault="00CD12ED" w:rsidP="004D3C68">
      <w:pPr>
        <w:pStyle w:val="ListParagraph"/>
        <w:widowControl/>
        <w:numPr>
          <w:ilvl w:val="0"/>
          <w:numId w:val="2"/>
        </w:numPr>
        <w:spacing w:after="200" w:line="480" w:lineRule="auto"/>
        <w:ind w:left="720"/>
        <w:rPr>
          <w:b/>
        </w:rPr>
      </w:pPr>
      <w:r>
        <w:rPr>
          <w:b/>
        </w:rPr>
        <w:t>The Plain Language of the Statute Indicates That a Writing Pri</w:t>
      </w:r>
      <w:r w:rsidR="006C4EDF">
        <w:rPr>
          <w:b/>
        </w:rPr>
        <w:t>or to the Completion of a Work I</w:t>
      </w:r>
      <w:r>
        <w:rPr>
          <w:b/>
        </w:rPr>
        <w:t>s Necessary to Meet the Requirements of § 101(2).</w:t>
      </w:r>
      <w:r w:rsidR="004D3C68" w:rsidRPr="00C039EA">
        <w:rPr>
          <w:b/>
        </w:rPr>
        <w:t xml:space="preserve"> </w:t>
      </w:r>
    </w:p>
    <w:p w14:paraId="70A60D7E" w14:textId="77777777" w:rsidR="00CF20EB" w:rsidRDefault="006C4EDF" w:rsidP="004D3C68">
      <w:pPr>
        <w:widowControl/>
        <w:spacing w:after="200" w:line="480" w:lineRule="auto"/>
        <w:ind w:firstLine="720"/>
      </w:pPr>
      <w:r>
        <w:t xml:space="preserve">Any inquiry about the proper interpretation of a statute must start with the plain language of the statute itself. </w:t>
      </w:r>
      <w:proofErr w:type="gramStart"/>
      <w:r w:rsidR="000F0AD0">
        <w:rPr>
          <w:i/>
        </w:rPr>
        <w:t>United States</w:t>
      </w:r>
      <w:r>
        <w:rPr>
          <w:i/>
        </w:rPr>
        <w:t xml:space="preserve"> v. Ron Pair </w:t>
      </w:r>
      <w:proofErr w:type="spellStart"/>
      <w:r w:rsidR="000F0AD0">
        <w:rPr>
          <w:i/>
        </w:rPr>
        <w:t>Enter.</w:t>
      </w:r>
      <w:r>
        <w:rPr>
          <w:i/>
        </w:rPr>
        <w:t>s</w:t>
      </w:r>
      <w:proofErr w:type="spellEnd"/>
      <w:r>
        <w:rPr>
          <w:i/>
        </w:rPr>
        <w:t>, Inc.</w:t>
      </w:r>
      <w:r>
        <w:t>, 489 U.S. 235, 241 (1989).</w:t>
      </w:r>
      <w:proofErr w:type="gramEnd"/>
      <w:r>
        <w:rPr>
          <w:i/>
        </w:rPr>
        <w:t xml:space="preserve"> </w:t>
      </w:r>
      <w:r>
        <w:t xml:space="preserve">If the statutory language is unambiguous and clear, </w:t>
      </w:r>
      <w:r w:rsidR="00CF20EB">
        <w:t xml:space="preserve">it is determinative, and </w:t>
      </w:r>
      <w:r>
        <w:t xml:space="preserve">courts should not look further in their analysis. </w:t>
      </w:r>
      <w:r w:rsidR="000F0AD0">
        <w:rPr>
          <w:i/>
        </w:rPr>
        <w:t xml:space="preserve">Zuni Pub. Sch. Dist. No. 89 v. Dep’t. </w:t>
      </w:r>
      <w:proofErr w:type="gramStart"/>
      <w:r w:rsidR="000F0AD0">
        <w:rPr>
          <w:i/>
        </w:rPr>
        <w:t>of</w:t>
      </w:r>
      <w:proofErr w:type="gramEnd"/>
      <w:r w:rsidR="000F0AD0">
        <w:rPr>
          <w:i/>
        </w:rPr>
        <w:t xml:space="preserve"> Educ.</w:t>
      </w:r>
      <w:r w:rsidR="000F0AD0">
        <w:t>, 550 U.S. 81, 93 (2007).</w:t>
      </w:r>
      <w:r>
        <w:t xml:space="preserve"> </w:t>
      </w:r>
    </w:p>
    <w:p w14:paraId="2D608925" w14:textId="77777777" w:rsidR="007C7E11" w:rsidRDefault="007C7E11" w:rsidP="00F361D1">
      <w:pPr>
        <w:widowControl/>
        <w:spacing w:after="200" w:line="480" w:lineRule="auto"/>
        <w:ind w:firstLine="720"/>
      </w:pPr>
      <w:r>
        <w:t>The Supreme Court has held that “Congress’s use of a verb tense is significant in construing statutes,” and the deliberate use of the future tense in § 101 is significant indeed. In requiring the signed writing to indicate that a work “</w:t>
      </w:r>
      <w:r>
        <w:rPr>
          <w:i/>
        </w:rPr>
        <w:t>shall be considered</w:t>
      </w:r>
      <w:r>
        <w:t xml:space="preserve">” made for hire, the drafters of the statute indicated that the writing must precede the creation of the work. If Congress had intended the timing of the writing to be flexible, it could have used the present tense: under the Dictionary Act, which guides how statues are created and interpreted, “words used in the present tense include the future and the present.” </w:t>
      </w:r>
      <w:proofErr w:type="gramStart"/>
      <w:r>
        <w:t>1 U.S.C. § 1 (1947).</w:t>
      </w:r>
      <w:proofErr w:type="gramEnd"/>
      <w:r>
        <w:t xml:space="preserve"> It would have been simple for Congress to use the word “is” instead of “shall be,” thus allowing a writing to memorialize an oral agreement that an already-created work has been considered a work made for hire all along and is still considered such at the time of the writing. However, it is a long-standing principle that when Congress uses the future tense, that usage “must be given weight.” </w:t>
      </w:r>
      <w:proofErr w:type="gramStart"/>
      <w:r>
        <w:rPr>
          <w:i/>
        </w:rPr>
        <w:t>United States v. Am. Sugar Ref. Co.</w:t>
      </w:r>
      <w:r>
        <w:t>, 202 U.S. 563, 578 (1906).</w:t>
      </w:r>
      <w:proofErr w:type="gramEnd"/>
      <w:r>
        <w:t xml:space="preserve"> </w:t>
      </w:r>
    </w:p>
    <w:p w14:paraId="6B7A1958" w14:textId="77777777" w:rsidR="00A56240" w:rsidRPr="00A56240" w:rsidRDefault="007C7E11" w:rsidP="00F361D1">
      <w:pPr>
        <w:widowControl/>
        <w:spacing w:after="200" w:line="480" w:lineRule="auto"/>
        <w:ind w:firstLine="720"/>
      </w:pPr>
      <w:r>
        <w:lastRenderedPageBreak/>
        <w:t>Furthermore, u</w:t>
      </w:r>
      <w:r w:rsidR="005A6089">
        <w:t>nder the plain meaning of the statute</w:t>
      </w:r>
      <w:r w:rsidR="008C09CB">
        <w:t xml:space="preserve"> </w:t>
      </w:r>
      <w:r w:rsidR="007C337E">
        <w:t xml:space="preserve">and the very definition of the phrase “work made for hire,” </w:t>
      </w:r>
      <w:r w:rsidR="005A6089">
        <w:t>a work</w:t>
      </w:r>
      <w:r w:rsidR="00E443BA">
        <w:t xml:space="preserve"> must have </w:t>
      </w:r>
      <w:r w:rsidR="00401A92">
        <w:t>made-</w:t>
      </w:r>
      <w:r w:rsidR="00E443BA">
        <w:t xml:space="preserve">for-hire status </w:t>
      </w:r>
      <w:r w:rsidR="004F3A18">
        <w:t>before its completion</w:t>
      </w:r>
      <w:r w:rsidR="0088012A">
        <w:t xml:space="preserve">, and it cannot get that status without the signed writing. “Work made for hire” necessarily implies that </w:t>
      </w:r>
      <w:r w:rsidR="00401A92">
        <w:t xml:space="preserve">the hiring is the purpose for which </w:t>
      </w:r>
      <w:r w:rsidR="0088012A">
        <w:t>a work</w:t>
      </w:r>
      <w:r w:rsidR="00401A92">
        <w:t xml:space="preserve"> is made</w:t>
      </w:r>
      <w:r w:rsidR="005A6089">
        <w:t xml:space="preserve">. </w:t>
      </w:r>
      <w:r w:rsidR="00401A92">
        <w:t xml:space="preserve">A work made for some other purpose can never be a work made for hire. </w:t>
      </w:r>
      <w:r w:rsidR="00A56240">
        <w:rPr>
          <w:i/>
        </w:rPr>
        <w:t xml:space="preserve">See </w:t>
      </w:r>
      <w:proofErr w:type="spellStart"/>
      <w:r w:rsidR="00A56240">
        <w:rPr>
          <w:i/>
        </w:rPr>
        <w:t>Gladwell</w:t>
      </w:r>
      <w:proofErr w:type="spellEnd"/>
      <w:r w:rsidR="00A56240">
        <w:rPr>
          <w:i/>
        </w:rPr>
        <w:t xml:space="preserve"> Gov’t </w:t>
      </w:r>
      <w:proofErr w:type="spellStart"/>
      <w:r w:rsidR="00A56240">
        <w:rPr>
          <w:i/>
        </w:rPr>
        <w:t>Serv.s</w:t>
      </w:r>
      <w:proofErr w:type="spellEnd"/>
      <w:r w:rsidR="00A56240">
        <w:rPr>
          <w:i/>
        </w:rPr>
        <w:t xml:space="preserve"> v. </w:t>
      </w:r>
      <w:proofErr w:type="spellStart"/>
      <w:r w:rsidR="00A56240">
        <w:rPr>
          <w:i/>
        </w:rPr>
        <w:t>Cnty</w:t>
      </w:r>
      <w:proofErr w:type="spellEnd"/>
      <w:r w:rsidR="00A56240">
        <w:rPr>
          <w:i/>
        </w:rPr>
        <w:t xml:space="preserve">. </w:t>
      </w:r>
      <w:proofErr w:type="gramStart"/>
      <w:r w:rsidR="00A56240">
        <w:rPr>
          <w:i/>
        </w:rPr>
        <w:t>of</w:t>
      </w:r>
      <w:proofErr w:type="gramEnd"/>
      <w:r w:rsidR="00A56240">
        <w:rPr>
          <w:i/>
        </w:rPr>
        <w:t xml:space="preserve"> Marin</w:t>
      </w:r>
      <w:r w:rsidR="00A56240">
        <w:t xml:space="preserve">, 265 </w:t>
      </w:r>
      <w:proofErr w:type="spellStart"/>
      <w:r w:rsidR="00A56240">
        <w:t>Fed.Appx</w:t>
      </w:r>
      <w:proofErr w:type="spellEnd"/>
      <w:r w:rsidR="00A56240">
        <w:t>. 624, 626 (holding that “[t]he plain language of the statute indicates that a work-for-hire agreement cannot apply to wor</w:t>
      </w:r>
      <w:r w:rsidR="005A6089">
        <w:t xml:space="preserve">ks that are already in existence”). </w:t>
      </w:r>
      <w:r w:rsidR="007C337E">
        <w:t xml:space="preserve">The statute itself </w:t>
      </w:r>
      <w:r w:rsidR="00401A92">
        <w:t>specifie</w:t>
      </w:r>
      <w:r w:rsidR="007C337E">
        <w:t xml:space="preserve">s that a </w:t>
      </w:r>
      <w:r w:rsidR="00100A63">
        <w:t xml:space="preserve">work cannot </w:t>
      </w:r>
      <w:r w:rsidR="009C64E6">
        <w:t xml:space="preserve">legally </w:t>
      </w:r>
      <w:r w:rsidR="00100A63">
        <w:t xml:space="preserve">be a </w:t>
      </w:r>
      <w:r w:rsidR="00401A92">
        <w:t>“</w:t>
      </w:r>
      <w:r w:rsidR="00100A63">
        <w:t>work made for hire</w:t>
      </w:r>
      <w:r w:rsidR="00401A92">
        <w:t>”</w:t>
      </w:r>
      <w:r w:rsidR="00100A63">
        <w:t xml:space="preserve"> </w:t>
      </w:r>
      <w:r w:rsidR="00E443BA">
        <w:t>until the writing requirement has been met</w:t>
      </w:r>
      <w:r w:rsidR="009C64E6">
        <w:t>, even i</w:t>
      </w:r>
      <w:r w:rsidR="004F3A18">
        <w:t xml:space="preserve">f the </w:t>
      </w:r>
      <w:r w:rsidR="00C45378">
        <w:t>parties have intended</w:t>
      </w:r>
      <w:r w:rsidR="004F3A18">
        <w:t xml:space="preserve"> otherwise. </w:t>
      </w:r>
      <w:r w:rsidR="0088012A">
        <w:rPr>
          <w:i/>
        </w:rPr>
        <w:t>See</w:t>
      </w:r>
      <w:r w:rsidR="009C64E6">
        <w:rPr>
          <w:i/>
        </w:rPr>
        <w:t xml:space="preserve"> Playboy </w:t>
      </w:r>
      <w:proofErr w:type="spellStart"/>
      <w:r w:rsidR="009C64E6">
        <w:rPr>
          <w:i/>
        </w:rPr>
        <w:t>Enter.s</w:t>
      </w:r>
      <w:proofErr w:type="spellEnd"/>
      <w:r w:rsidR="009C64E6">
        <w:rPr>
          <w:i/>
        </w:rPr>
        <w:t>, Inc. v. Dumas</w:t>
      </w:r>
      <w:r w:rsidR="009C64E6">
        <w:t>,</w:t>
      </w:r>
      <w:r w:rsidR="00F361D1">
        <w:t xml:space="preserve"> </w:t>
      </w:r>
      <w:r w:rsidR="0088012A">
        <w:t>53 F.3d 549, 558-60 (2nd Cir. 1995) (holding that</w:t>
      </w:r>
      <w:r w:rsidR="00F361D1">
        <w:t>, without an express written agreement signed by both parties, a work cannot be a “work made for hire,” regardless of the parties’ intentions</w:t>
      </w:r>
      <w:r w:rsidR="0088012A">
        <w:t>)</w:t>
      </w:r>
      <w:r w:rsidR="00F361D1">
        <w:t xml:space="preserve">. </w:t>
      </w:r>
      <w:r w:rsidR="004F3A18">
        <w:t>Th</w:t>
      </w:r>
      <w:r w:rsidR="00C45378">
        <w:t>us, the</w:t>
      </w:r>
      <w:r w:rsidR="004F3A18">
        <w:t xml:space="preserve"> writing </w:t>
      </w:r>
      <w:r w:rsidR="00C45378">
        <w:t xml:space="preserve">is essential, and </w:t>
      </w:r>
      <w:r w:rsidR="00AF16DC">
        <w:t>without it, a work’s made-for-hire status is not finalized</w:t>
      </w:r>
      <w:r w:rsidR="00C45378">
        <w:t xml:space="preserve">. </w:t>
      </w:r>
      <w:r w:rsidR="0010573A">
        <w:t>Allowing the writing to succeed the completion of the work would create a gap in time where the work has been made for some purpose, but is not a work made for</w:t>
      </w:r>
      <w:r w:rsidR="00AF16DC">
        <w:t xml:space="preserve"> the purpose of</w:t>
      </w:r>
      <w:r w:rsidR="0010573A">
        <w:t xml:space="preserve"> hire. It would be absurd and contrary to the language and logic of the Copyright Act if the purpose for a past action, the creation of a work, could change depending on the signing of a document in the future.</w:t>
      </w:r>
      <w:r w:rsidR="00AF16DC">
        <w:t xml:space="preserve"> </w:t>
      </w:r>
      <w:r w:rsidR="00401A92">
        <w:t xml:space="preserve">Therefore, even if the parties had a mutual understanding that OGS was commissioning the screenplay, </w:t>
      </w:r>
      <w:r w:rsidR="00F361D1">
        <w:t xml:space="preserve">Lime did not make it for hire, </w:t>
      </w:r>
      <w:r w:rsidR="00AF16DC">
        <w:t>under the definition of the Copyright Act</w:t>
      </w:r>
      <w:r w:rsidR="00401A92">
        <w:t xml:space="preserve">. </w:t>
      </w:r>
      <w:r w:rsidR="000D4CD3">
        <w:t xml:space="preserve">Once </w:t>
      </w:r>
      <w:r w:rsidR="00F361D1">
        <w:t>“Anticipatory Repudiation”</w:t>
      </w:r>
      <w:r w:rsidR="000D4CD3">
        <w:t xml:space="preserve"> was already in existence, </w:t>
      </w:r>
      <w:r w:rsidR="00F361D1">
        <w:t xml:space="preserve">OGS and Lime </w:t>
      </w:r>
      <w:r w:rsidR="000D4CD3">
        <w:t xml:space="preserve">could not retroactively confer </w:t>
      </w:r>
      <w:r w:rsidR="00F361D1">
        <w:t>made-for-hire status upon it.</w:t>
      </w:r>
    </w:p>
    <w:p w14:paraId="462B3B0E" w14:textId="77777777" w:rsidR="00C43587" w:rsidRPr="00C50AFB" w:rsidRDefault="00C50AFB" w:rsidP="004D3C68">
      <w:pPr>
        <w:widowControl/>
        <w:spacing w:after="200" w:line="480" w:lineRule="auto"/>
        <w:ind w:firstLine="720"/>
      </w:pPr>
      <w:r>
        <w:t xml:space="preserve"> </w:t>
      </w:r>
    </w:p>
    <w:p w14:paraId="03856C1F" w14:textId="77777777" w:rsidR="001A61D2" w:rsidRPr="001A61D2" w:rsidRDefault="00981A41" w:rsidP="001A61D2">
      <w:pPr>
        <w:pStyle w:val="ListParagraph"/>
        <w:widowControl/>
        <w:numPr>
          <w:ilvl w:val="0"/>
          <w:numId w:val="2"/>
        </w:numPr>
        <w:spacing w:after="200" w:line="276" w:lineRule="auto"/>
        <w:rPr>
          <w:b/>
        </w:rPr>
      </w:pPr>
      <w:r>
        <w:rPr>
          <w:b/>
        </w:rPr>
        <w:t>Congress Interpreted the Language of § 101 to Mean That the Signed Writing Must Precede the Creation of a Work Made for Hire.</w:t>
      </w:r>
      <w:r w:rsidR="001A61D2" w:rsidRPr="00C039EA">
        <w:rPr>
          <w:b/>
        </w:rPr>
        <w:t xml:space="preserve"> </w:t>
      </w:r>
    </w:p>
    <w:p w14:paraId="3091812F" w14:textId="77777777" w:rsidR="0042126F" w:rsidRDefault="0042126F" w:rsidP="001A61D2">
      <w:pPr>
        <w:spacing w:line="480" w:lineRule="auto"/>
        <w:ind w:firstLine="720"/>
      </w:pPr>
      <w:r>
        <w:t xml:space="preserve">Congress did not take pains to specify the timing requirement for the writing even more </w:t>
      </w:r>
      <w:r>
        <w:lastRenderedPageBreak/>
        <w:t xml:space="preserve">clearly, because it believed that the language of § 101 was clear enough already. The legislative history shows that Congress understood the plain meaning of that clause to be that the signed writing must precede the creation of a work made for hire. A major discussion on the draft of the Copyright Act shows that the negotiating parties, including artists and publishers from various creative fields, did not consider alternative interpretations of the clause. During this discussion, the Register of Copyrights, Barbara Ringer, raised the issue of whether a contract signed after a work was written would allow the work to be considered a work for hire. She stated that, under the language as it stood, such a contract would not suffice.  </w:t>
      </w:r>
      <w:proofErr w:type="gramStart"/>
      <w:r>
        <w:t>(1964 Revision Bill at 145).</w:t>
      </w:r>
      <w:proofErr w:type="gramEnd"/>
      <w:r>
        <w:t xml:space="preserve"> After some debate, the language remained; no party disagreed with her interpretation of the language. If Ringer’s statement did not represent the intent of the drafters of the Copyright Act, the language would have changed after the point was raised.</w:t>
      </w:r>
    </w:p>
    <w:p w14:paraId="5915AA16" w14:textId="77777777" w:rsidR="00EF1CFC" w:rsidRPr="00EF1CFC" w:rsidRDefault="00EF1CFC" w:rsidP="001A61D2">
      <w:pPr>
        <w:spacing w:line="480" w:lineRule="auto"/>
        <w:ind w:firstLine="720"/>
      </w:pPr>
      <w:r>
        <w:t xml:space="preserve">Congress also specified that courts should adhere to the exact language of the Copyright Act, with the meaning it understood that language to have, in order to uphold the goals of the Act as a whole. A central purpose of the Act was to reach a compromise between various economic interests in creative industries, such as authors versus publishers. </w:t>
      </w:r>
      <w:proofErr w:type="gramStart"/>
      <w:r>
        <w:t>122 Cong. Rec. 31979 1976.</w:t>
      </w:r>
      <w:proofErr w:type="gramEnd"/>
      <w:r>
        <w:t xml:space="preserve"> Senator </w:t>
      </w:r>
      <w:proofErr w:type="spellStart"/>
      <w:r>
        <w:t>Railsback</w:t>
      </w:r>
      <w:proofErr w:type="spellEnd"/>
      <w:r>
        <w:t xml:space="preserve">, ranking republican on the judiciary subcommittee that supervised the creation of the Act, stated that any change in the language would upset the hard-won compromise that was eventually reached: “This balance [between conflicting interests], however, is a delicate one. A change in any one sentence may tilt that balance in such a way as to unravel the entire bill.” </w:t>
      </w:r>
      <w:proofErr w:type="gramStart"/>
      <w:r>
        <w:rPr>
          <w:i/>
        </w:rPr>
        <w:t>Id.</w:t>
      </w:r>
      <w:r>
        <w:t xml:space="preserve"> at 31982.</w:t>
      </w:r>
      <w:proofErr w:type="gramEnd"/>
      <w:r>
        <w:t xml:space="preserve"> Interpreting the language of § 101 differently from how Congress intended it would frustrate the compromise and run counter to the overarching goals behind the Copyright Act.</w:t>
      </w:r>
    </w:p>
    <w:p w14:paraId="2F2AE8CE" w14:textId="77777777" w:rsidR="00317A96" w:rsidRDefault="00317A96" w:rsidP="00DD7885">
      <w:pPr>
        <w:spacing w:line="480" w:lineRule="auto"/>
        <w:ind w:firstLine="720"/>
      </w:pPr>
    </w:p>
    <w:p w14:paraId="1C32065F" w14:textId="77777777" w:rsidR="00414490" w:rsidRPr="00414490" w:rsidRDefault="000A6EDF" w:rsidP="00A72352">
      <w:pPr>
        <w:pStyle w:val="ListParagraph"/>
        <w:numPr>
          <w:ilvl w:val="0"/>
          <w:numId w:val="2"/>
        </w:numPr>
        <w:tabs>
          <w:tab w:val="left" w:pos="0"/>
        </w:tabs>
        <w:spacing w:line="480" w:lineRule="auto"/>
        <w:ind w:left="0" w:firstLine="0"/>
        <w:rPr>
          <w:b/>
        </w:rPr>
      </w:pPr>
      <w:r>
        <w:rPr>
          <w:b/>
        </w:rPr>
        <w:t xml:space="preserve">The Drafters of the Copyright Act Included the Pre-Creation Writing Requirement </w:t>
      </w:r>
      <w:r>
        <w:rPr>
          <w:b/>
        </w:rPr>
        <w:lastRenderedPageBreak/>
        <w:t xml:space="preserve">in Order to Increase Clarity and Certainty Regarding Who Owns a Copyright. </w:t>
      </w:r>
    </w:p>
    <w:p w14:paraId="462B34B1" w14:textId="77777777" w:rsidR="00414490" w:rsidRDefault="00414490" w:rsidP="00414490">
      <w:pPr>
        <w:spacing w:line="480" w:lineRule="auto"/>
        <w:ind w:firstLine="720"/>
      </w:pPr>
      <w:r>
        <w:t xml:space="preserve">Without the </w:t>
      </w:r>
      <w:r w:rsidR="000A6EDF">
        <w:t xml:space="preserve">strict </w:t>
      </w:r>
      <w:r>
        <w:t xml:space="preserve">writing requirement in § 101(2), disputes may arise over who owns the copyright to a work made on commission or by special order. </w:t>
      </w:r>
      <w:r w:rsidR="00D03F03">
        <w:t>Increased</w:t>
      </w:r>
      <w:r>
        <w:t xml:space="preserve"> certainty in the contract formation process would reduce such disputes and encourage artists and commissioners to do business.</w:t>
      </w:r>
      <w:r w:rsidR="00D87D73">
        <w:t xml:space="preserve"> Courts have recognized the importance of such certainty</w:t>
      </w:r>
      <w:r w:rsidR="00784A49">
        <w:t>: in</w:t>
      </w:r>
      <w:r w:rsidR="00D87D73">
        <w:t xml:space="preserve"> an exemplar case, regarding whether photographs taken on commission were works for hire, the </w:t>
      </w:r>
      <w:r w:rsidR="000A6EDF">
        <w:t>Seventh</w:t>
      </w:r>
      <w:r w:rsidR="00D87D73">
        <w:t xml:space="preserve"> Circuit decided that without a statement signed by both parties prior to the creation of the photographs, a work could not meet the requirements of the statute. </w:t>
      </w:r>
      <w:r w:rsidR="000A6EDF">
        <w:rPr>
          <w:i/>
        </w:rPr>
        <w:t xml:space="preserve">Schiller &amp; Schmidt, Inc. v. </w:t>
      </w:r>
      <w:proofErr w:type="spellStart"/>
      <w:r w:rsidR="000A6EDF">
        <w:rPr>
          <w:i/>
        </w:rPr>
        <w:t>Nordisco</w:t>
      </w:r>
      <w:proofErr w:type="spellEnd"/>
      <w:r w:rsidR="000A6EDF">
        <w:t xml:space="preserve"> </w:t>
      </w:r>
      <w:r w:rsidR="000A6EDF">
        <w:rPr>
          <w:i/>
        </w:rPr>
        <w:t>Corp.</w:t>
      </w:r>
      <w:r w:rsidR="000A6EDF">
        <w:t xml:space="preserve">, 969 F.2d 410, 412 (7th Cir. 1992). </w:t>
      </w:r>
      <w:r w:rsidR="00D87D73">
        <w:t xml:space="preserve">Although the court based its holding on two grounds, the lack of two signatures and the failure of timing, it spent more time analyzing and setting forth clear arguments on just why the signed-statement requirement was crucial for reasons beyond its purpose as a statute of frauds. “The signed-statement requirement in § 101(2) has a second purpose – to make the ownership of property rights in intellectual property clear and definite, so that such property will be readily marketable.” </w:t>
      </w:r>
      <w:r w:rsidR="000A6EDF">
        <w:rPr>
          <w:i/>
        </w:rPr>
        <w:t>Id.</w:t>
      </w:r>
      <w:r w:rsidR="000A6EDF">
        <w:t xml:space="preserve">; </w:t>
      </w:r>
      <w:r w:rsidR="00926A97" w:rsidRPr="000A6EDF">
        <w:rPr>
          <w:i/>
        </w:rPr>
        <w:t>see also</w:t>
      </w:r>
      <w:r w:rsidR="00D87D73">
        <w:t xml:space="preserve"> </w:t>
      </w:r>
      <w:r w:rsidR="00D87D73">
        <w:rPr>
          <w:i/>
        </w:rPr>
        <w:t>Konigsberg Intl. Inc. v. Rice</w:t>
      </w:r>
      <w:r w:rsidR="00D87D73">
        <w:t>, 16 F.3d 355, 357 (9th Cir. 1993)</w:t>
      </w:r>
      <w:r w:rsidR="00C2048F">
        <w:t xml:space="preserve"> (</w:t>
      </w:r>
      <w:r w:rsidR="00714993">
        <w:t>stating that copyright transfers, like works made for hire, require a writing to increase Congress’s paramount goals of clarity and certainty</w:t>
      </w:r>
      <w:r w:rsidR="00C2048F">
        <w:t>)</w:t>
      </w:r>
      <w:r w:rsidR="00D87D73">
        <w:t xml:space="preserve">; Jay </w:t>
      </w:r>
      <w:proofErr w:type="spellStart"/>
      <w:r w:rsidR="00D87D73">
        <w:t>Dratler</w:t>
      </w:r>
      <w:proofErr w:type="spellEnd"/>
      <w:r w:rsidR="00D87D73">
        <w:t xml:space="preserve">, Jr., </w:t>
      </w:r>
      <w:r w:rsidR="00D87D73">
        <w:rPr>
          <w:i/>
        </w:rPr>
        <w:t xml:space="preserve">Intellectual Property Law: Commercial, Creative, and Industrial Property, </w:t>
      </w:r>
      <w:r w:rsidR="00D87D73">
        <w:t>§ 6.03[3] at 6-72 (1993</w:t>
      </w:r>
      <w:r w:rsidR="005B7CF8">
        <w:t>)</w:t>
      </w:r>
      <w:r w:rsidR="00C2048F">
        <w:t xml:space="preserve"> (</w:t>
      </w:r>
      <w:r w:rsidR="005B7CF8">
        <w:t>arguing that the writing requirement</w:t>
      </w:r>
      <w:r w:rsidR="00D87D73">
        <w:t xml:space="preserve"> “performs not only the usual evidentiary and cautionary functions of all statutes of frauds, but also the additional purpose of describing the bounds of intangible rights that cannot be seen or felt”</w:t>
      </w:r>
      <w:r w:rsidR="00C2048F">
        <w:t>)</w:t>
      </w:r>
      <w:r w:rsidR="00310EBC">
        <w:t>.</w:t>
      </w:r>
      <w:r w:rsidR="005B7CF8">
        <w:t xml:space="preserve"> In no uncertain terms, the </w:t>
      </w:r>
      <w:r w:rsidR="005B7CF8">
        <w:rPr>
          <w:i/>
        </w:rPr>
        <w:t>Schiller</w:t>
      </w:r>
      <w:r w:rsidR="005B7CF8">
        <w:t xml:space="preserve"> court held that “the writing must precede the creation of the property in order to serve its purpose of identifying the (</w:t>
      </w:r>
      <w:proofErr w:type="spellStart"/>
      <w:r w:rsidR="005B7CF8">
        <w:t>noncreator</w:t>
      </w:r>
      <w:proofErr w:type="spellEnd"/>
      <w:r w:rsidR="005B7CF8">
        <w:t xml:space="preserve">) owner unequivocally.” </w:t>
      </w:r>
      <w:r w:rsidR="00204BE7">
        <w:rPr>
          <w:i/>
        </w:rPr>
        <w:t>Schiller &amp; Schmidt, Inc.</w:t>
      </w:r>
      <w:r w:rsidR="00204BE7">
        <w:t>, 16 F.3d at 413.</w:t>
      </w:r>
    </w:p>
    <w:p w14:paraId="02913D66" w14:textId="77777777" w:rsidR="005B7CF8" w:rsidRDefault="005B7CF8" w:rsidP="00414490">
      <w:pPr>
        <w:spacing w:line="480" w:lineRule="auto"/>
        <w:ind w:firstLine="720"/>
      </w:pPr>
      <w:r>
        <w:t xml:space="preserve">This clarity matters because there are different presumptions over who owns the </w:t>
      </w:r>
      <w:r>
        <w:lastRenderedPageBreak/>
        <w:t>copyright to a commissioned work made for hire and a work not made for hire. “Where a non-employee contributes to a book or movie, as [</w:t>
      </w:r>
      <w:r w:rsidR="00406DC6">
        <w:t xml:space="preserve">the </w:t>
      </w:r>
      <w:r w:rsidR="00310EBC">
        <w:t>creator of the work</w:t>
      </w:r>
      <w:r>
        <w:t>] did here, the exclusive rights of copyright ownership vest in the creator of the contribution, unless there is a written agreement to the contrary.</w:t>
      </w:r>
      <w:r w:rsidR="00406DC6">
        <w:t>”</w:t>
      </w:r>
      <w:r>
        <w:t xml:space="preserve"> </w:t>
      </w:r>
      <w:r>
        <w:rPr>
          <w:i/>
        </w:rPr>
        <w:t>Effects Assocs</w:t>
      </w:r>
      <w:proofErr w:type="gramStart"/>
      <w:r>
        <w:rPr>
          <w:i/>
        </w:rPr>
        <w:t>.,</w:t>
      </w:r>
      <w:proofErr w:type="gramEnd"/>
      <w:r>
        <w:rPr>
          <w:i/>
        </w:rPr>
        <w:t xml:space="preserve"> Inc. v. Cohen</w:t>
      </w:r>
      <w:r>
        <w:t xml:space="preserve">, 908 F.2d 555, 557 (9th Cir. 1990). An employer or commissioner of a work for hire, however, is presumed to be the author for the purposes of copyright. </w:t>
      </w:r>
      <w:proofErr w:type="gramStart"/>
      <w:r w:rsidR="00714993">
        <w:t xml:space="preserve">17 U.S.C. § </w:t>
      </w:r>
      <w:r w:rsidR="00784A49">
        <w:t>201(b) (1976)</w:t>
      </w:r>
      <w:r w:rsidR="00714993">
        <w:t>.</w:t>
      </w:r>
      <w:proofErr w:type="gramEnd"/>
      <w:r w:rsidR="00714993">
        <w:t xml:space="preserve"> </w:t>
      </w:r>
      <w:r>
        <w:t>This presumption can be overturned by evidence of a separate signed writing that reserves rights to the</w:t>
      </w:r>
      <w:r w:rsidR="00204BE7">
        <w:t xml:space="preserve"> creator. </w:t>
      </w:r>
      <w:r w:rsidR="00784A49">
        <w:rPr>
          <w:i/>
        </w:rPr>
        <w:t xml:space="preserve">Id. </w:t>
      </w:r>
      <w:r>
        <w:t xml:space="preserve">The signed writing requirement in § 101(2) draws a clear line between the two above situations. If a work for hire may be created on commission without a signed writing, the parties will not be certain which of them will be presumed the author if a dispute arises, and which will have the burden of proof to overturn such as presumption. </w:t>
      </w:r>
      <w:r w:rsidR="00E72FFB" w:rsidRPr="00D9750B">
        <w:t>A</w:t>
      </w:r>
      <w:r w:rsidR="00310EBC">
        <w:t xml:space="preserve"> </w:t>
      </w:r>
      <w:r w:rsidR="00E72FFB" w:rsidRPr="00D9750B">
        <w:t>pre-creation signed writing eliminates this uncertainty, while a writing postponed until after</w:t>
      </w:r>
      <w:r w:rsidR="00310EBC">
        <w:t xml:space="preserve"> the </w:t>
      </w:r>
      <w:r w:rsidR="00E72FFB" w:rsidRPr="00D9750B">
        <w:t xml:space="preserve">creation of a work </w:t>
      </w:r>
      <w:r w:rsidR="00310EBC">
        <w:t>could easily leave a</w:t>
      </w:r>
      <w:r w:rsidR="00E72FFB" w:rsidRPr="00D9750B">
        <w:t xml:space="preserve"> party unsure which rights it has</w:t>
      </w:r>
      <w:proofErr w:type="gramStart"/>
      <w:r w:rsidR="00E72FFB" w:rsidRPr="00D9750B">
        <w:t>.</w:t>
      </w:r>
      <w:r w:rsidR="00926A97" w:rsidRPr="00740A9C">
        <w:rPr>
          <w:sz w:val="16"/>
          <w:szCs w:val="16"/>
        </w:rPr>
        <w:t>.</w:t>
      </w:r>
      <w:proofErr w:type="gramEnd"/>
      <w:r>
        <w:t xml:space="preserve"> </w:t>
      </w:r>
      <w:r w:rsidR="00740A9C">
        <w:t xml:space="preserve"> </w:t>
      </w:r>
    </w:p>
    <w:p w14:paraId="18ED3664" w14:textId="77777777" w:rsidR="00D03F03" w:rsidRDefault="00DD7885" w:rsidP="00414490">
      <w:pPr>
        <w:spacing w:line="480" w:lineRule="auto"/>
        <w:ind w:firstLine="720"/>
      </w:pPr>
      <w:r>
        <w:t>Fostering clarity regarding parties’ rights is a solid policy, and indeed, it was among Congress’s paramount goals during the creation of the Copyright Act</w:t>
      </w:r>
      <w:r w:rsidR="00D03F03">
        <w:t>:</w:t>
      </w:r>
    </w:p>
    <w:p w14:paraId="5F4C66FB" w14:textId="77777777" w:rsidR="00D03F03" w:rsidRDefault="00DD7885" w:rsidP="00D03F03">
      <w:pPr>
        <w:spacing w:line="480" w:lineRule="auto"/>
        <w:ind w:left="720" w:right="720"/>
      </w:pPr>
      <w:r>
        <w:t>The keynote of the statute’s [copyright] ownership provisions is a commitment to facilitation of transfer and exploitation of copyrights by removing uncertainties over copyright ownership. The statute of frauds provisions in the definition of works made for hire and the restrictions surrounding the right of termination are only some of the statutory provisions aimed at reducing clouds on the titles of copyright that could impede exploitation.</w:t>
      </w:r>
    </w:p>
    <w:p w14:paraId="1117950F" w14:textId="77777777" w:rsidR="00A72352" w:rsidRPr="005B7CF8" w:rsidRDefault="00D03F03" w:rsidP="00D03F03">
      <w:pPr>
        <w:spacing w:line="480" w:lineRule="auto"/>
      </w:pPr>
      <w:r>
        <w:t xml:space="preserve">Jessica </w:t>
      </w:r>
      <w:proofErr w:type="spellStart"/>
      <w:r>
        <w:t>Litman</w:t>
      </w:r>
      <w:proofErr w:type="spellEnd"/>
      <w:r>
        <w:t xml:space="preserve">, </w:t>
      </w:r>
      <w:r>
        <w:rPr>
          <w:i/>
        </w:rPr>
        <w:t>Copyright, Compromise, and Legislative History</w:t>
      </w:r>
      <w:r>
        <w:t>, 72 Cornell L. Rev. 857,</w:t>
      </w:r>
      <w:r w:rsidR="00172A89">
        <w:t xml:space="preserve"> 894-</w:t>
      </w:r>
      <w:r w:rsidR="00A23D1C">
        <w:t>9</w:t>
      </w:r>
      <w:r w:rsidR="00172A89">
        <w:t>5.</w:t>
      </w:r>
      <w:r w:rsidR="00DD7885">
        <w:t xml:space="preserve"> This goal </w:t>
      </w:r>
      <w:r w:rsidR="00E32EFD">
        <w:t>is reflected again in</w:t>
      </w:r>
      <w:r w:rsidR="00DD7885">
        <w:t xml:space="preserve"> § 204, which requires a writing for transfers of copyright: this </w:t>
      </w:r>
      <w:r w:rsidR="00DD7885">
        <w:lastRenderedPageBreak/>
        <w:t xml:space="preserve">requirement “not only protects [parties] from fraudulent claims, but also enhances predictability and certainty of ownership – Congress’s paramount goal when it revised the Act in 1976.” </w:t>
      </w:r>
      <w:r w:rsidR="00DD7885">
        <w:rPr>
          <w:i/>
        </w:rPr>
        <w:t>Konigsberg</w:t>
      </w:r>
      <w:r w:rsidR="00DD7885">
        <w:t xml:space="preserve">, 16 F.3d </w:t>
      </w:r>
      <w:r>
        <w:t>at</w:t>
      </w:r>
      <w:r w:rsidR="00DD7885">
        <w:t xml:space="preserve"> 357 (internal quotes removed).</w:t>
      </w:r>
    </w:p>
    <w:p w14:paraId="50BE2D2D" w14:textId="77777777" w:rsidR="0065215A" w:rsidRDefault="00E34F44" w:rsidP="00226B26">
      <w:pPr>
        <w:spacing w:line="480" w:lineRule="auto"/>
        <w:ind w:firstLine="720"/>
      </w:pPr>
      <w:r>
        <w:t>As OGS will argue, the Second Circuit has indeed held that</w:t>
      </w:r>
      <w:r w:rsidR="00414490">
        <w:t xml:space="preserve"> a written agreement signed after the creation of a work, but memorializing an earlier oral agreement, could meet the standards of § 101(2). </w:t>
      </w:r>
      <w:r w:rsidR="00543C68">
        <w:t xml:space="preserve"> </w:t>
      </w:r>
      <w:proofErr w:type="gramStart"/>
      <w:r w:rsidR="00D03F03">
        <w:rPr>
          <w:i/>
        </w:rPr>
        <w:t>Playboy</w:t>
      </w:r>
      <w:r w:rsidR="00D03F03">
        <w:t>, 53 F.3d at 559.</w:t>
      </w:r>
      <w:proofErr w:type="gramEnd"/>
      <w:r w:rsidR="00D03F03">
        <w:t xml:space="preserve">  </w:t>
      </w:r>
      <w:r>
        <w:t>In that case, t</w:t>
      </w:r>
      <w:r w:rsidR="00226B26">
        <w:t xml:space="preserve">he court acknowledged that the legislative history and </w:t>
      </w:r>
      <w:r w:rsidR="005D372A">
        <w:t>clarifying purpose</w:t>
      </w:r>
      <w:r w:rsidR="00226B26">
        <w:t xml:space="preserve"> of the statute showed it should be interpreted as </w:t>
      </w:r>
      <w:r w:rsidR="005D372A">
        <w:t>requiring the parties to agree that a work is for hire before the work is created.</w:t>
      </w:r>
      <w:r w:rsidR="00D03F03">
        <w:t xml:space="preserve"> </w:t>
      </w:r>
      <w:r w:rsidR="00D03F03">
        <w:rPr>
          <w:i/>
        </w:rPr>
        <w:t>Id.</w:t>
      </w:r>
      <w:r w:rsidR="005D372A">
        <w:t xml:space="preserve"> However, the court went on to express doubt as to whether the writing itself must be completed before the work’s creation, hypothesizing that it may frustrate the intent of parties who have agreed on work-for-hire status but have not completed all the formalities required by § 101(2). </w:t>
      </w:r>
      <w:r w:rsidR="005D372A">
        <w:rPr>
          <w:i/>
        </w:rPr>
        <w:t>Id</w:t>
      </w:r>
      <w:r w:rsidR="005D372A">
        <w:t xml:space="preserve">. The court decided to “assume,” not decide once and for all, that a signed requirement confirming an explicit or implicit agreement prior to the work’s creation would meet the statutory requirements. </w:t>
      </w:r>
      <w:r w:rsidR="005D372A">
        <w:rPr>
          <w:i/>
        </w:rPr>
        <w:t>Id</w:t>
      </w:r>
      <w:r w:rsidR="0065215A">
        <w:t xml:space="preserve">. </w:t>
      </w:r>
    </w:p>
    <w:p w14:paraId="2AD7F130" w14:textId="77777777" w:rsidR="00084903" w:rsidRDefault="0065215A" w:rsidP="00226B26">
      <w:pPr>
        <w:spacing w:line="480" w:lineRule="auto"/>
        <w:ind w:firstLine="720"/>
      </w:pPr>
      <w:r>
        <w:t xml:space="preserve">This Court should not follow the </w:t>
      </w:r>
      <w:r>
        <w:rPr>
          <w:i/>
        </w:rPr>
        <w:t>Playboy</w:t>
      </w:r>
      <w:r>
        <w:t xml:space="preserve"> ruling. A</w:t>
      </w:r>
      <w:r w:rsidR="00E34F44">
        <w:t>side from how it violates the plain language of the statute, as described in Section A above, a</w:t>
      </w:r>
      <w:r>
        <w:t xml:space="preserve">dopting such an interpretation will decrease clarity and certainty regarding works for hire. Future parties negotiating the commission of creative works may not be sure what constitutes an implicit agreement, or </w:t>
      </w:r>
      <w:r w:rsidR="007712FD">
        <w:t xml:space="preserve">when and if the other party will </w:t>
      </w:r>
      <w:r w:rsidR="005B4161">
        <w:t>ever sign in writing</w:t>
      </w:r>
      <w:r w:rsidR="007712FD">
        <w:t xml:space="preserve">. </w:t>
      </w:r>
      <w:r w:rsidR="003A205C">
        <w:t>Furthermore</w:t>
      </w:r>
      <w:r w:rsidR="00E34F44">
        <w:t>,</w:t>
      </w:r>
      <w:r w:rsidR="003A205C">
        <w:t xml:space="preserve"> the </w:t>
      </w:r>
      <w:r w:rsidR="003A205C" w:rsidRPr="00E34F44">
        <w:rPr>
          <w:i/>
        </w:rPr>
        <w:t>Playboy</w:t>
      </w:r>
      <w:r w:rsidR="003A205C">
        <w:t xml:space="preserve"> facts differ from the facts here.  </w:t>
      </w:r>
      <w:r w:rsidR="00084903">
        <w:t xml:space="preserve">In the case at hand, the </w:t>
      </w:r>
      <w:r w:rsidR="00E34F44">
        <w:t>work-made-for-hire agreement</w:t>
      </w:r>
      <w:r w:rsidR="00084903">
        <w:t xml:space="preserve"> does not even reference an earlier oral agreement</w:t>
      </w:r>
      <w:r w:rsidR="00E34F44">
        <w:t xml:space="preserve"> at all</w:t>
      </w:r>
      <w:r w:rsidR="00084903">
        <w:t xml:space="preserve">. Even if there is room for </w:t>
      </w:r>
      <w:r w:rsidR="00E34F44">
        <w:t xml:space="preserve">flexibility </w:t>
      </w:r>
      <w:r w:rsidR="00084903">
        <w:t xml:space="preserve">regarding the timing of a signed work for hire agreement, this </w:t>
      </w:r>
      <w:r w:rsidR="00E34F44">
        <w:t>case is not suitable for such a rule</w:t>
      </w:r>
      <w:r w:rsidR="005B4161">
        <w:t xml:space="preserve">. Using the case at hand to adopt the </w:t>
      </w:r>
      <w:r w:rsidR="005B4161">
        <w:rPr>
          <w:i/>
        </w:rPr>
        <w:t>Playboy</w:t>
      </w:r>
      <w:r w:rsidR="005B4161">
        <w:t xml:space="preserve"> rule as precedent, as opposed to in a case where a signed writing explicitly confirms </w:t>
      </w:r>
      <w:r w:rsidR="005B4161">
        <w:lastRenderedPageBreak/>
        <w:t>that an oral agreement has been made prior to the creation of a work, would open the door to fraudulent assertions regarding such an oral agreement</w:t>
      </w:r>
      <w:r w:rsidR="00E34F44">
        <w:t xml:space="preserve"> in future cases</w:t>
      </w:r>
      <w:r w:rsidR="005B4161">
        <w:t xml:space="preserve"> and stray further from Congress’s goal of removing uncertainty.</w:t>
      </w:r>
    </w:p>
    <w:p w14:paraId="394C901C" w14:textId="77777777" w:rsidR="00E34F44" w:rsidRDefault="00E34F44" w:rsidP="00226B26">
      <w:pPr>
        <w:spacing w:line="480" w:lineRule="auto"/>
        <w:ind w:firstLine="720"/>
      </w:pPr>
    </w:p>
    <w:p w14:paraId="49415B90" w14:textId="77777777" w:rsidR="002C58ED" w:rsidRDefault="002C58ED" w:rsidP="002C58ED">
      <w:pPr>
        <w:spacing w:line="480" w:lineRule="auto"/>
        <w:jc w:val="center"/>
      </w:pPr>
    </w:p>
    <w:p w14:paraId="6B627189" w14:textId="77777777" w:rsidR="002C58ED" w:rsidRDefault="002C58ED" w:rsidP="002C58ED">
      <w:pPr>
        <w:spacing w:line="480" w:lineRule="auto"/>
        <w:jc w:val="center"/>
      </w:pPr>
      <w:r>
        <w:rPr>
          <w:b/>
        </w:rPr>
        <w:t>CONCLUSION</w:t>
      </w:r>
    </w:p>
    <w:p w14:paraId="3AAA86E3" w14:textId="77777777" w:rsidR="00CB21E1" w:rsidRDefault="002C58ED" w:rsidP="002C58ED">
      <w:pPr>
        <w:spacing w:line="480" w:lineRule="auto"/>
      </w:pPr>
      <w:r>
        <w:tab/>
      </w:r>
      <w:r w:rsidR="004F7CED">
        <w:t xml:space="preserve">The requirement that a signed writing designating a work made for hire must come before the creation of the work itself may seem like </w:t>
      </w:r>
      <w:r w:rsidR="0079543F">
        <w:t xml:space="preserve">a </w:t>
      </w:r>
      <w:r w:rsidR="004F7CED">
        <w:t>formality. However,</w:t>
      </w:r>
      <w:r w:rsidR="0079543F">
        <w:t xml:space="preserve"> </w:t>
      </w:r>
      <w:r w:rsidR="00CB21E1">
        <w:t>Congress deliberately included that requirement in the plain language of the statute, so it must be followed, regardless of the parties’ intent. The grammatical and logical rules of § 101 indicate that a work made for hire cannot exist before the writing requirement is complete, and an already-existing work cannot be made into a work made for hire; any other interpretation would be nonsensical.</w:t>
      </w:r>
    </w:p>
    <w:p w14:paraId="3B057E85" w14:textId="77777777" w:rsidR="002C58ED" w:rsidRPr="002C58ED" w:rsidRDefault="00CB21E1" w:rsidP="00CB21E1">
      <w:pPr>
        <w:spacing w:line="480" w:lineRule="auto"/>
        <w:ind w:firstLine="720"/>
      </w:pPr>
      <w:r>
        <w:t xml:space="preserve">Furthermore, </w:t>
      </w:r>
      <w:r w:rsidR="0079543F">
        <w:t xml:space="preserve">one of the main themes of the Copyright Act as a whole, and this provision in particular, is that of clarity and certainty. Without such formalities, and without such bright-line rules, </w:t>
      </w:r>
      <w:r w:rsidR="00B6196E">
        <w:t xml:space="preserve">authors and publishers of creative works would not know who would have what rights, and their works would be harder to create and produce. Either failing to recognize that the statute calls for a signed writing that precedes the creation of a work for hire, or recognizing that requirement but interpreting it away, would interfere with the certainty necessary in creative industries, the balance of power within such industries, and the core intent of Congress in passing the Copyright Act. </w:t>
      </w:r>
    </w:p>
    <w:sectPr w:rsidR="002C58ED" w:rsidRPr="002C58ED" w:rsidSect="004F3025">
      <w:footerReference w:type="default" r:id="rId9"/>
      <w:endnotePr>
        <w:numFmt w:val="decimal"/>
      </w:endnotePr>
      <w:pgSz w:w="12240" w:h="15840" w:code="1"/>
      <w:pgMar w:top="1440" w:right="1440" w:bottom="1440" w:left="1440" w:header="720" w:footer="720" w:gutter="0"/>
      <w:cols w:space="720" w:equalWidth="0">
        <w:col w:w="9360" w:space="720"/>
      </w:cols>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C0A6E" w14:textId="77777777" w:rsidR="007366F4" w:rsidRDefault="007366F4">
      <w:r>
        <w:separator/>
      </w:r>
    </w:p>
  </w:endnote>
  <w:endnote w:type="continuationSeparator" w:id="0">
    <w:p w14:paraId="196C77F5" w14:textId="77777777" w:rsidR="007366F4" w:rsidRDefault="0073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12F4A" w14:textId="77777777" w:rsidR="00A86C43" w:rsidRDefault="0058750D">
    <w:pPr>
      <w:pStyle w:val="Footer"/>
      <w:jc w:val="center"/>
    </w:pPr>
    <w:r>
      <w:t>[</w:t>
    </w:r>
    <w:r w:rsidR="00926A97">
      <w:fldChar w:fldCharType="begin"/>
    </w:r>
    <w:r>
      <w:instrText xml:space="preserve"> PAGE   \* MERGEFORMAT </w:instrText>
    </w:r>
    <w:r w:rsidR="00926A97">
      <w:fldChar w:fldCharType="separate"/>
    </w:r>
    <w:r w:rsidR="00721F19">
      <w:rPr>
        <w:noProof/>
      </w:rPr>
      <w:t>10</w:t>
    </w:r>
    <w:r w:rsidR="00926A97">
      <w:rPr>
        <w:noProof/>
      </w:rPr>
      <w:fldChar w:fldCharType="end"/>
    </w:r>
    <w:r>
      <w:t>]</w:t>
    </w:r>
  </w:p>
  <w:p w14:paraId="397FE7D9" w14:textId="77777777" w:rsidR="00A86C43" w:rsidRDefault="00721F1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375CD" w14:textId="77777777" w:rsidR="007366F4" w:rsidRDefault="007366F4">
      <w:r>
        <w:separator/>
      </w:r>
    </w:p>
  </w:footnote>
  <w:footnote w:type="continuationSeparator" w:id="0">
    <w:p w14:paraId="405643D1" w14:textId="77777777" w:rsidR="007366F4" w:rsidRDefault="007366F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D13A3"/>
    <w:multiLevelType w:val="hybridMultilevel"/>
    <w:tmpl w:val="5240B770"/>
    <w:lvl w:ilvl="0" w:tplc="04090015">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B1702A"/>
    <w:multiLevelType w:val="hybridMultilevel"/>
    <w:tmpl w:val="C7AE1078"/>
    <w:lvl w:ilvl="0" w:tplc="75A0FD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025"/>
    <w:rsid w:val="00010FD3"/>
    <w:rsid w:val="00024A7F"/>
    <w:rsid w:val="00056398"/>
    <w:rsid w:val="0007114B"/>
    <w:rsid w:val="0007466C"/>
    <w:rsid w:val="00084903"/>
    <w:rsid w:val="000A6EDF"/>
    <w:rsid w:val="000D4CD3"/>
    <w:rsid w:val="000D782C"/>
    <w:rsid w:val="000E4919"/>
    <w:rsid w:val="000F0AD0"/>
    <w:rsid w:val="00100A63"/>
    <w:rsid w:val="0010573A"/>
    <w:rsid w:val="00170752"/>
    <w:rsid w:val="00172A89"/>
    <w:rsid w:val="00194B63"/>
    <w:rsid w:val="001A61D2"/>
    <w:rsid w:val="001C747D"/>
    <w:rsid w:val="001D2FCA"/>
    <w:rsid w:val="00204BE7"/>
    <w:rsid w:val="00226B26"/>
    <w:rsid w:val="00232B73"/>
    <w:rsid w:val="00256822"/>
    <w:rsid w:val="00257BC0"/>
    <w:rsid w:val="00292B0B"/>
    <w:rsid w:val="002A6651"/>
    <w:rsid w:val="002C09AD"/>
    <w:rsid w:val="002C58ED"/>
    <w:rsid w:val="00310EBC"/>
    <w:rsid w:val="00317A96"/>
    <w:rsid w:val="003A205C"/>
    <w:rsid w:val="003F1C54"/>
    <w:rsid w:val="00401A92"/>
    <w:rsid w:val="00406DC6"/>
    <w:rsid w:val="00414490"/>
    <w:rsid w:val="0042126F"/>
    <w:rsid w:val="004272D5"/>
    <w:rsid w:val="004536B2"/>
    <w:rsid w:val="0046567D"/>
    <w:rsid w:val="00465B69"/>
    <w:rsid w:val="00497307"/>
    <w:rsid w:val="004A665A"/>
    <w:rsid w:val="004B0C2E"/>
    <w:rsid w:val="004D3C68"/>
    <w:rsid w:val="004D6B90"/>
    <w:rsid w:val="004F3025"/>
    <w:rsid w:val="004F3A18"/>
    <w:rsid w:val="004F547B"/>
    <w:rsid w:val="004F7CED"/>
    <w:rsid w:val="00500B48"/>
    <w:rsid w:val="00526AAD"/>
    <w:rsid w:val="00543C68"/>
    <w:rsid w:val="005764EC"/>
    <w:rsid w:val="0058750D"/>
    <w:rsid w:val="005A6089"/>
    <w:rsid w:val="005B4161"/>
    <w:rsid w:val="005B7CF8"/>
    <w:rsid w:val="005C5BE9"/>
    <w:rsid w:val="005D372A"/>
    <w:rsid w:val="00637E47"/>
    <w:rsid w:val="00647F1D"/>
    <w:rsid w:val="0065215A"/>
    <w:rsid w:val="00664FF5"/>
    <w:rsid w:val="00684D11"/>
    <w:rsid w:val="006C4EDF"/>
    <w:rsid w:val="00714993"/>
    <w:rsid w:val="007218AE"/>
    <w:rsid w:val="00721F19"/>
    <w:rsid w:val="007345E8"/>
    <w:rsid w:val="007366F4"/>
    <w:rsid w:val="00740A9C"/>
    <w:rsid w:val="00754DF5"/>
    <w:rsid w:val="007552F1"/>
    <w:rsid w:val="007712FD"/>
    <w:rsid w:val="00784A49"/>
    <w:rsid w:val="00785D18"/>
    <w:rsid w:val="0079543F"/>
    <w:rsid w:val="007C337E"/>
    <w:rsid w:val="007C7E11"/>
    <w:rsid w:val="007D04EB"/>
    <w:rsid w:val="00866DD9"/>
    <w:rsid w:val="00867693"/>
    <w:rsid w:val="0088012A"/>
    <w:rsid w:val="008909C3"/>
    <w:rsid w:val="00891F8F"/>
    <w:rsid w:val="00894AFF"/>
    <w:rsid w:val="008C09CB"/>
    <w:rsid w:val="008F2714"/>
    <w:rsid w:val="00926A97"/>
    <w:rsid w:val="009420BE"/>
    <w:rsid w:val="00943EB9"/>
    <w:rsid w:val="00981A41"/>
    <w:rsid w:val="009967AD"/>
    <w:rsid w:val="009A6A2C"/>
    <w:rsid w:val="009B0B48"/>
    <w:rsid w:val="009C64E6"/>
    <w:rsid w:val="009D69B0"/>
    <w:rsid w:val="00A23D1C"/>
    <w:rsid w:val="00A56240"/>
    <w:rsid w:val="00A72352"/>
    <w:rsid w:val="00A81FE3"/>
    <w:rsid w:val="00AB0124"/>
    <w:rsid w:val="00AF16DC"/>
    <w:rsid w:val="00B0270E"/>
    <w:rsid w:val="00B6196E"/>
    <w:rsid w:val="00B63731"/>
    <w:rsid w:val="00B80C13"/>
    <w:rsid w:val="00BB6254"/>
    <w:rsid w:val="00BE0321"/>
    <w:rsid w:val="00C03413"/>
    <w:rsid w:val="00C2048F"/>
    <w:rsid w:val="00C43587"/>
    <w:rsid w:val="00C45378"/>
    <w:rsid w:val="00C50AFB"/>
    <w:rsid w:val="00C90079"/>
    <w:rsid w:val="00CA049C"/>
    <w:rsid w:val="00CA4BED"/>
    <w:rsid w:val="00CB21E1"/>
    <w:rsid w:val="00CD12ED"/>
    <w:rsid w:val="00CF20EB"/>
    <w:rsid w:val="00D03F03"/>
    <w:rsid w:val="00D27B6C"/>
    <w:rsid w:val="00D87D73"/>
    <w:rsid w:val="00D9750B"/>
    <w:rsid w:val="00DD7885"/>
    <w:rsid w:val="00E32EFD"/>
    <w:rsid w:val="00E34F44"/>
    <w:rsid w:val="00E443BA"/>
    <w:rsid w:val="00E5356E"/>
    <w:rsid w:val="00E72FFB"/>
    <w:rsid w:val="00E75135"/>
    <w:rsid w:val="00ED3508"/>
    <w:rsid w:val="00ED4A2B"/>
    <w:rsid w:val="00EF1CFC"/>
    <w:rsid w:val="00F0041B"/>
    <w:rsid w:val="00F2645F"/>
    <w:rsid w:val="00F34FA3"/>
    <w:rsid w:val="00F361D1"/>
    <w:rsid w:val="00F842BF"/>
    <w:rsid w:val="00FB610D"/>
    <w:rsid w:val="00FD0C6B"/>
    <w:rsid w:val="00FD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025"/>
    <w:pPr>
      <w:widowControl w:val="0"/>
      <w:spacing w:after="0" w:line="240" w:lineRule="auto"/>
    </w:pPr>
    <w:rPr>
      <w:rFonts w:ascii="Times New Roman" w:eastAsia="Times New Roman" w:hAnsi="Times New Roman" w:cs="Times New Roman"/>
      <w:snapToGrid w:val="0"/>
      <w:sz w:val="24"/>
      <w:szCs w:val="20"/>
      <w:lang w:eastAsia="en-US"/>
    </w:rPr>
  </w:style>
  <w:style w:type="paragraph" w:styleId="Heading2">
    <w:name w:val="heading 2"/>
    <w:basedOn w:val="Normal"/>
    <w:next w:val="Normal"/>
    <w:link w:val="Heading2Char"/>
    <w:qFormat/>
    <w:rsid w:val="004F3025"/>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025"/>
    <w:rPr>
      <w:rFonts w:ascii="Times New Roman" w:eastAsia="Times New Roman" w:hAnsi="Times New Roman" w:cs="Times New Roman"/>
      <w:b/>
      <w:snapToGrid w:val="0"/>
      <w:sz w:val="24"/>
      <w:szCs w:val="20"/>
      <w:lang w:eastAsia="en-US"/>
    </w:rPr>
  </w:style>
  <w:style w:type="paragraph" w:styleId="Footer">
    <w:name w:val="footer"/>
    <w:basedOn w:val="Normal"/>
    <w:link w:val="FooterChar"/>
    <w:uiPriority w:val="99"/>
    <w:rsid w:val="004F3025"/>
    <w:pPr>
      <w:widowControl/>
      <w:tabs>
        <w:tab w:val="center" w:pos="4320"/>
        <w:tab w:val="right" w:pos="8640"/>
      </w:tabs>
    </w:pPr>
    <w:rPr>
      <w:snapToGrid/>
      <w:lang w:val="x-none" w:eastAsia="x-none"/>
    </w:rPr>
  </w:style>
  <w:style w:type="character" w:customStyle="1" w:styleId="FooterChar">
    <w:name w:val="Footer Char"/>
    <w:basedOn w:val="DefaultParagraphFont"/>
    <w:link w:val="Footer"/>
    <w:uiPriority w:val="99"/>
    <w:rsid w:val="004F3025"/>
    <w:rPr>
      <w:rFonts w:ascii="Times New Roman" w:eastAsia="Times New Roman" w:hAnsi="Times New Roman" w:cs="Times New Roman"/>
      <w:sz w:val="24"/>
      <w:szCs w:val="20"/>
      <w:lang w:val="x-none" w:eastAsia="x-none"/>
    </w:rPr>
  </w:style>
  <w:style w:type="paragraph" w:styleId="BodyText">
    <w:name w:val="Body Text"/>
    <w:basedOn w:val="Normal"/>
    <w:link w:val="BodyTextChar"/>
    <w:rsid w:val="004F3025"/>
    <w:pPr>
      <w:jc w:val="both"/>
    </w:pPr>
  </w:style>
  <w:style w:type="character" w:customStyle="1" w:styleId="BodyTextChar">
    <w:name w:val="Body Text Char"/>
    <w:basedOn w:val="DefaultParagraphFont"/>
    <w:link w:val="BodyText"/>
    <w:rsid w:val="004F3025"/>
    <w:rPr>
      <w:rFonts w:ascii="Times New Roman" w:eastAsia="Times New Roman" w:hAnsi="Times New Roman" w:cs="Times New Roman"/>
      <w:snapToGrid w:val="0"/>
      <w:sz w:val="24"/>
      <w:szCs w:val="20"/>
      <w:lang w:eastAsia="en-US"/>
    </w:rPr>
  </w:style>
  <w:style w:type="character" w:styleId="CommentReference">
    <w:name w:val="annotation reference"/>
    <w:basedOn w:val="DefaultParagraphFont"/>
    <w:uiPriority w:val="99"/>
    <w:rsid w:val="004F3025"/>
    <w:rPr>
      <w:sz w:val="16"/>
      <w:szCs w:val="16"/>
    </w:rPr>
  </w:style>
  <w:style w:type="paragraph" w:styleId="CommentText">
    <w:name w:val="annotation text"/>
    <w:basedOn w:val="Normal"/>
    <w:link w:val="CommentTextChar"/>
    <w:uiPriority w:val="99"/>
    <w:rsid w:val="004F3025"/>
    <w:rPr>
      <w:sz w:val="20"/>
    </w:rPr>
  </w:style>
  <w:style w:type="character" w:customStyle="1" w:styleId="CommentTextChar">
    <w:name w:val="Comment Text Char"/>
    <w:basedOn w:val="DefaultParagraphFont"/>
    <w:link w:val="CommentText"/>
    <w:uiPriority w:val="99"/>
    <w:rsid w:val="004F3025"/>
    <w:rPr>
      <w:rFonts w:ascii="Times New Roman" w:eastAsia="Times New Roman" w:hAnsi="Times New Roman" w:cs="Times New Roman"/>
      <w:snapToGrid w:val="0"/>
      <w:sz w:val="20"/>
      <w:szCs w:val="20"/>
      <w:lang w:eastAsia="en-US"/>
    </w:rPr>
  </w:style>
  <w:style w:type="paragraph" w:styleId="BalloonText">
    <w:name w:val="Balloon Text"/>
    <w:basedOn w:val="Normal"/>
    <w:link w:val="BalloonTextChar"/>
    <w:uiPriority w:val="99"/>
    <w:semiHidden/>
    <w:unhideWhenUsed/>
    <w:rsid w:val="004F3025"/>
    <w:rPr>
      <w:rFonts w:ascii="Tahoma" w:hAnsi="Tahoma" w:cs="Tahoma"/>
      <w:sz w:val="16"/>
      <w:szCs w:val="16"/>
    </w:rPr>
  </w:style>
  <w:style w:type="character" w:customStyle="1" w:styleId="BalloonTextChar">
    <w:name w:val="Balloon Text Char"/>
    <w:basedOn w:val="DefaultParagraphFont"/>
    <w:link w:val="BalloonText"/>
    <w:uiPriority w:val="99"/>
    <w:semiHidden/>
    <w:rsid w:val="004F3025"/>
    <w:rPr>
      <w:rFonts w:ascii="Tahoma" w:eastAsia="Times New Roman" w:hAnsi="Tahoma" w:cs="Tahoma"/>
      <w:snapToGrid w:val="0"/>
      <w:sz w:val="16"/>
      <w:szCs w:val="16"/>
      <w:lang w:eastAsia="en-US"/>
    </w:rPr>
  </w:style>
  <w:style w:type="character" w:customStyle="1" w:styleId="apple-converted-space">
    <w:name w:val="apple-converted-space"/>
    <w:basedOn w:val="DefaultParagraphFont"/>
    <w:rsid w:val="00FD2586"/>
  </w:style>
  <w:style w:type="character" w:styleId="Strong">
    <w:name w:val="Strong"/>
    <w:basedOn w:val="DefaultParagraphFont"/>
    <w:uiPriority w:val="22"/>
    <w:qFormat/>
    <w:rsid w:val="00B63731"/>
    <w:rPr>
      <w:b/>
      <w:bCs/>
    </w:rPr>
  </w:style>
  <w:style w:type="paragraph" w:styleId="ListParagraph">
    <w:name w:val="List Paragraph"/>
    <w:basedOn w:val="Normal"/>
    <w:uiPriority w:val="34"/>
    <w:qFormat/>
    <w:rsid w:val="004D3C68"/>
    <w:pPr>
      <w:ind w:left="720"/>
      <w:contextualSpacing/>
    </w:pPr>
  </w:style>
  <w:style w:type="paragraph" w:styleId="CommentSubject">
    <w:name w:val="annotation subject"/>
    <w:basedOn w:val="CommentText"/>
    <w:next w:val="CommentText"/>
    <w:link w:val="CommentSubjectChar"/>
    <w:uiPriority w:val="99"/>
    <w:semiHidden/>
    <w:unhideWhenUsed/>
    <w:rsid w:val="005C5BE9"/>
    <w:rPr>
      <w:b/>
      <w:bCs/>
    </w:rPr>
  </w:style>
  <w:style w:type="character" w:customStyle="1" w:styleId="CommentSubjectChar">
    <w:name w:val="Comment Subject Char"/>
    <w:basedOn w:val="CommentTextChar"/>
    <w:link w:val="CommentSubject"/>
    <w:uiPriority w:val="99"/>
    <w:semiHidden/>
    <w:rsid w:val="005C5BE9"/>
    <w:rPr>
      <w:rFonts w:ascii="Times New Roman" w:eastAsia="Times New Roman" w:hAnsi="Times New Roman" w:cs="Times New Roman"/>
      <w:b/>
      <w:bCs/>
      <w:snapToGrid w:val="0"/>
      <w:sz w:val="20"/>
      <w:szCs w:val="20"/>
      <w:lang w:eastAsia="en-US"/>
    </w:rPr>
  </w:style>
  <w:style w:type="character" w:styleId="Hyperlink">
    <w:name w:val="Hyperlink"/>
    <w:basedOn w:val="DefaultParagraphFont"/>
    <w:uiPriority w:val="99"/>
    <w:semiHidden/>
    <w:unhideWhenUsed/>
    <w:rsid w:val="005C5BE9"/>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025"/>
    <w:pPr>
      <w:widowControl w:val="0"/>
      <w:spacing w:after="0" w:line="240" w:lineRule="auto"/>
    </w:pPr>
    <w:rPr>
      <w:rFonts w:ascii="Times New Roman" w:eastAsia="Times New Roman" w:hAnsi="Times New Roman" w:cs="Times New Roman"/>
      <w:snapToGrid w:val="0"/>
      <w:sz w:val="24"/>
      <w:szCs w:val="20"/>
      <w:lang w:eastAsia="en-US"/>
    </w:rPr>
  </w:style>
  <w:style w:type="paragraph" w:styleId="Heading2">
    <w:name w:val="heading 2"/>
    <w:basedOn w:val="Normal"/>
    <w:next w:val="Normal"/>
    <w:link w:val="Heading2Char"/>
    <w:qFormat/>
    <w:rsid w:val="004F3025"/>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025"/>
    <w:rPr>
      <w:rFonts w:ascii="Times New Roman" w:eastAsia="Times New Roman" w:hAnsi="Times New Roman" w:cs="Times New Roman"/>
      <w:b/>
      <w:snapToGrid w:val="0"/>
      <w:sz w:val="24"/>
      <w:szCs w:val="20"/>
      <w:lang w:eastAsia="en-US"/>
    </w:rPr>
  </w:style>
  <w:style w:type="paragraph" w:styleId="Footer">
    <w:name w:val="footer"/>
    <w:basedOn w:val="Normal"/>
    <w:link w:val="FooterChar"/>
    <w:uiPriority w:val="99"/>
    <w:rsid w:val="004F3025"/>
    <w:pPr>
      <w:widowControl/>
      <w:tabs>
        <w:tab w:val="center" w:pos="4320"/>
        <w:tab w:val="right" w:pos="8640"/>
      </w:tabs>
    </w:pPr>
    <w:rPr>
      <w:snapToGrid/>
      <w:lang w:val="x-none" w:eastAsia="x-none"/>
    </w:rPr>
  </w:style>
  <w:style w:type="character" w:customStyle="1" w:styleId="FooterChar">
    <w:name w:val="Footer Char"/>
    <w:basedOn w:val="DefaultParagraphFont"/>
    <w:link w:val="Footer"/>
    <w:uiPriority w:val="99"/>
    <w:rsid w:val="004F3025"/>
    <w:rPr>
      <w:rFonts w:ascii="Times New Roman" w:eastAsia="Times New Roman" w:hAnsi="Times New Roman" w:cs="Times New Roman"/>
      <w:sz w:val="24"/>
      <w:szCs w:val="20"/>
      <w:lang w:val="x-none" w:eastAsia="x-none"/>
    </w:rPr>
  </w:style>
  <w:style w:type="paragraph" w:styleId="BodyText">
    <w:name w:val="Body Text"/>
    <w:basedOn w:val="Normal"/>
    <w:link w:val="BodyTextChar"/>
    <w:rsid w:val="004F3025"/>
    <w:pPr>
      <w:jc w:val="both"/>
    </w:pPr>
  </w:style>
  <w:style w:type="character" w:customStyle="1" w:styleId="BodyTextChar">
    <w:name w:val="Body Text Char"/>
    <w:basedOn w:val="DefaultParagraphFont"/>
    <w:link w:val="BodyText"/>
    <w:rsid w:val="004F3025"/>
    <w:rPr>
      <w:rFonts w:ascii="Times New Roman" w:eastAsia="Times New Roman" w:hAnsi="Times New Roman" w:cs="Times New Roman"/>
      <w:snapToGrid w:val="0"/>
      <w:sz w:val="24"/>
      <w:szCs w:val="20"/>
      <w:lang w:eastAsia="en-US"/>
    </w:rPr>
  </w:style>
  <w:style w:type="character" w:styleId="CommentReference">
    <w:name w:val="annotation reference"/>
    <w:basedOn w:val="DefaultParagraphFont"/>
    <w:uiPriority w:val="99"/>
    <w:rsid w:val="004F3025"/>
    <w:rPr>
      <w:sz w:val="16"/>
      <w:szCs w:val="16"/>
    </w:rPr>
  </w:style>
  <w:style w:type="paragraph" w:styleId="CommentText">
    <w:name w:val="annotation text"/>
    <w:basedOn w:val="Normal"/>
    <w:link w:val="CommentTextChar"/>
    <w:uiPriority w:val="99"/>
    <w:rsid w:val="004F3025"/>
    <w:rPr>
      <w:sz w:val="20"/>
    </w:rPr>
  </w:style>
  <w:style w:type="character" w:customStyle="1" w:styleId="CommentTextChar">
    <w:name w:val="Comment Text Char"/>
    <w:basedOn w:val="DefaultParagraphFont"/>
    <w:link w:val="CommentText"/>
    <w:uiPriority w:val="99"/>
    <w:rsid w:val="004F3025"/>
    <w:rPr>
      <w:rFonts w:ascii="Times New Roman" w:eastAsia="Times New Roman" w:hAnsi="Times New Roman" w:cs="Times New Roman"/>
      <w:snapToGrid w:val="0"/>
      <w:sz w:val="20"/>
      <w:szCs w:val="20"/>
      <w:lang w:eastAsia="en-US"/>
    </w:rPr>
  </w:style>
  <w:style w:type="paragraph" w:styleId="BalloonText">
    <w:name w:val="Balloon Text"/>
    <w:basedOn w:val="Normal"/>
    <w:link w:val="BalloonTextChar"/>
    <w:uiPriority w:val="99"/>
    <w:semiHidden/>
    <w:unhideWhenUsed/>
    <w:rsid w:val="004F3025"/>
    <w:rPr>
      <w:rFonts w:ascii="Tahoma" w:hAnsi="Tahoma" w:cs="Tahoma"/>
      <w:sz w:val="16"/>
      <w:szCs w:val="16"/>
    </w:rPr>
  </w:style>
  <w:style w:type="character" w:customStyle="1" w:styleId="BalloonTextChar">
    <w:name w:val="Balloon Text Char"/>
    <w:basedOn w:val="DefaultParagraphFont"/>
    <w:link w:val="BalloonText"/>
    <w:uiPriority w:val="99"/>
    <w:semiHidden/>
    <w:rsid w:val="004F3025"/>
    <w:rPr>
      <w:rFonts w:ascii="Tahoma" w:eastAsia="Times New Roman" w:hAnsi="Tahoma" w:cs="Tahoma"/>
      <w:snapToGrid w:val="0"/>
      <w:sz w:val="16"/>
      <w:szCs w:val="16"/>
      <w:lang w:eastAsia="en-US"/>
    </w:rPr>
  </w:style>
  <w:style w:type="character" w:customStyle="1" w:styleId="apple-converted-space">
    <w:name w:val="apple-converted-space"/>
    <w:basedOn w:val="DefaultParagraphFont"/>
    <w:rsid w:val="00FD2586"/>
  </w:style>
  <w:style w:type="character" w:styleId="Strong">
    <w:name w:val="Strong"/>
    <w:basedOn w:val="DefaultParagraphFont"/>
    <w:uiPriority w:val="22"/>
    <w:qFormat/>
    <w:rsid w:val="00B63731"/>
    <w:rPr>
      <w:b/>
      <w:bCs/>
    </w:rPr>
  </w:style>
  <w:style w:type="paragraph" w:styleId="ListParagraph">
    <w:name w:val="List Paragraph"/>
    <w:basedOn w:val="Normal"/>
    <w:uiPriority w:val="34"/>
    <w:qFormat/>
    <w:rsid w:val="004D3C68"/>
    <w:pPr>
      <w:ind w:left="720"/>
      <w:contextualSpacing/>
    </w:pPr>
  </w:style>
  <w:style w:type="paragraph" w:styleId="CommentSubject">
    <w:name w:val="annotation subject"/>
    <w:basedOn w:val="CommentText"/>
    <w:next w:val="CommentText"/>
    <w:link w:val="CommentSubjectChar"/>
    <w:uiPriority w:val="99"/>
    <w:semiHidden/>
    <w:unhideWhenUsed/>
    <w:rsid w:val="005C5BE9"/>
    <w:rPr>
      <w:b/>
      <w:bCs/>
    </w:rPr>
  </w:style>
  <w:style w:type="character" w:customStyle="1" w:styleId="CommentSubjectChar">
    <w:name w:val="Comment Subject Char"/>
    <w:basedOn w:val="CommentTextChar"/>
    <w:link w:val="CommentSubject"/>
    <w:uiPriority w:val="99"/>
    <w:semiHidden/>
    <w:rsid w:val="005C5BE9"/>
    <w:rPr>
      <w:rFonts w:ascii="Times New Roman" w:eastAsia="Times New Roman" w:hAnsi="Times New Roman" w:cs="Times New Roman"/>
      <w:b/>
      <w:bCs/>
      <w:snapToGrid w:val="0"/>
      <w:sz w:val="20"/>
      <w:szCs w:val="20"/>
      <w:lang w:eastAsia="en-US"/>
    </w:rPr>
  </w:style>
  <w:style w:type="character" w:styleId="Hyperlink">
    <w:name w:val="Hyperlink"/>
    <w:basedOn w:val="DefaultParagraphFont"/>
    <w:uiPriority w:val="99"/>
    <w:semiHidden/>
    <w:unhideWhenUsed/>
    <w:rsid w:val="005C5B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834979">
      <w:bodyDiv w:val="1"/>
      <w:marLeft w:val="0"/>
      <w:marRight w:val="0"/>
      <w:marTop w:val="0"/>
      <w:marBottom w:val="0"/>
      <w:divBdr>
        <w:top w:val="none" w:sz="0" w:space="0" w:color="auto"/>
        <w:left w:val="none" w:sz="0" w:space="0" w:color="auto"/>
        <w:bottom w:val="none" w:sz="0" w:space="0" w:color="auto"/>
        <w:right w:val="none" w:sz="0" w:space="0" w:color="auto"/>
      </w:divBdr>
      <w:divsChild>
        <w:div w:id="54940484">
          <w:marLeft w:val="0"/>
          <w:marRight w:val="0"/>
          <w:marTop w:val="240"/>
          <w:marBottom w:val="0"/>
          <w:divBdr>
            <w:top w:val="none" w:sz="0" w:space="0" w:color="auto"/>
            <w:left w:val="none" w:sz="0" w:space="0" w:color="auto"/>
            <w:bottom w:val="none" w:sz="0" w:space="0" w:color="auto"/>
            <w:right w:val="none" w:sz="0" w:space="0" w:color="auto"/>
          </w:divBdr>
          <w:divsChild>
            <w:div w:id="754018194">
              <w:marLeft w:val="0"/>
              <w:marRight w:val="0"/>
              <w:marTop w:val="0"/>
              <w:marBottom w:val="0"/>
              <w:divBdr>
                <w:top w:val="none" w:sz="0" w:space="0" w:color="auto"/>
                <w:left w:val="none" w:sz="0" w:space="12" w:color="auto"/>
                <w:bottom w:val="none" w:sz="0" w:space="0" w:color="auto"/>
                <w:right w:val="none" w:sz="0" w:space="0" w:color="auto"/>
              </w:divBdr>
            </w:div>
          </w:divsChild>
        </w:div>
        <w:div w:id="1966083503">
          <w:marLeft w:val="0"/>
          <w:marRight w:val="0"/>
          <w:marTop w:val="240"/>
          <w:marBottom w:val="0"/>
          <w:divBdr>
            <w:top w:val="none" w:sz="0" w:space="0" w:color="auto"/>
            <w:left w:val="none" w:sz="0" w:space="0" w:color="auto"/>
            <w:bottom w:val="none" w:sz="0" w:space="0" w:color="auto"/>
            <w:right w:val="none" w:sz="0" w:space="0" w:color="auto"/>
          </w:divBdr>
          <w:divsChild>
            <w:div w:id="65223494">
              <w:marLeft w:val="0"/>
              <w:marRight w:val="0"/>
              <w:marTop w:val="0"/>
              <w:marBottom w:val="0"/>
              <w:divBdr>
                <w:top w:val="none" w:sz="0" w:space="0" w:color="auto"/>
                <w:left w:val="none" w:sz="0" w:space="24" w:color="auto"/>
                <w:bottom w:val="none" w:sz="0" w:space="0" w:color="auto"/>
                <w:right w:val="none" w:sz="0" w:space="0" w:color="auto"/>
              </w:divBdr>
            </w:div>
          </w:divsChild>
        </w:div>
        <w:div w:id="1235357009">
          <w:marLeft w:val="0"/>
          <w:marRight w:val="0"/>
          <w:marTop w:val="240"/>
          <w:marBottom w:val="0"/>
          <w:divBdr>
            <w:top w:val="none" w:sz="0" w:space="0" w:color="auto"/>
            <w:left w:val="none" w:sz="0" w:space="0" w:color="auto"/>
            <w:bottom w:val="none" w:sz="0" w:space="0" w:color="auto"/>
            <w:right w:val="none" w:sz="0" w:space="0" w:color="auto"/>
          </w:divBdr>
          <w:divsChild>
            <w:div w:id="26372192">
              <w:marLeft w:val="0"/>
              <w:marRight w:val="0"/>
              <w:marTop w:val="0"/>
              <w:marBottom w:val="0"/>
              <w:divBdr>
                <w:top w:val="none" w:sz="0" w:space="0" w:color="auto"/>
                <w:left w:val="none" w:sz="0" w:space="24"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FB010-3FEA-BC41-9F8C-84D31AC0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3089</Words>
  <Characters>15463</Characters>
  <Application>Microsoft Macintosh Word</Application>
  <DocSecurity>0</DocSecurity>
  <Lines>241</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2012-04-18T15:10:00Z</dcterms:created>
  <dcterms:modified xsi:type="dcterms:W3CDTF">2012-06-02T13:46:00Z</dcterms:modified>
  <cp:category/>
</cp:coreProperties>
</file>